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8BC48" w14:textId="52E4E368" w:rsidR="00A26BEC" w:rsidRPr="00913159" w:rsidRDefault="00913159" w:rsidP="00885CED">
      <w:pPr>
        <w:spacing w:after="0" w:line="276" w:lineRule="auto"/>
        <w:jc w:val="center"/>
        <w:rPr>
          <w:rFonts w:ascii="Cambria" w:eastAsia="Times New Roman" w:hAnsi="Cambria" w:cs="Times New Roman"/>
          <w:b/>
          <w:bCs/>
          <w:sz w:val="24"/>
          <w:szCs w:val="24"/>
          <w:lang w:val="en-ID"/>
        </w:rPr>
      </w:pPr>
      <w:r w:rsidRPr="00913159">
        <w:rPr>
          <w:rFonts w:ascii="Cambria" w:eastAsia="Times New Roman" w:hAnsi="Cambria" w:cs="Times New Roman"/>
          <w:b/>
          <w:bCs/>
          <w:sz w:val="24"/>
          <w:szCs w:val="24"/>
          <w:lang w:val="en-ID"/>
        </w:rPr>
        <w:t xml:space="preserve">  </w:t>
      </w:r>
      <w:r w:rsidRPr="00885CED">
        <w:rPr>
          <w:rFonts w:ascii="Cambria" w:eastAsia="Times New Roman" w:hAnsi="Cambria" w:cs="Times New Roman"/>
          <w:b/>
          <w:bCs/>
          <w:sz w:val="28"/>
          <w:szCs w:val="28"/>
          <w:lang w:val="en-ID"/>
        </w:rPr>
        <w:t>Patient Loyalty is Assessed from Service Response Time, Officer Competence, Health Facilities and Complaint Handling</w:t>
      </w:r>
      <w:bookmarkStart w:id="0" w:name="_Hlk202310366"/>
    </w:p>
    <w:bookmarkEnd w:id="0"/>
    <w:p w14:paraId="392BD631" w14:textId="77777777" w:rsidR="00A50607" w:rsidRPr="00913159" w:rsidRDefault="00A50607" w:rsidP="00885CED">
      <w:pPr>
        <w:spacing w:after="0" w:line="276" w:lineRule="auto"/>
        <w:jc w:val="center"/>
        <w:rPr>
          <w:rFonts w:ascii="Cambria" w:hAnsi="Cambria" w:cs="Times New Roman"/>
          <w:b/>
          <w:bCs/>
          <w:lang w:val="en-ID"/>
        </w:rPr>
      </w:pPr>
    </w:p>
    <w:p w14:paraId="61C4F5B5" w14:textId="2E82D0B6" w:rsidR="00BD6183" w:rsidRPr="00913159" w:rsidRDefault="00441AAF" w:rsidP="00885CED">
      <w:pPr>
        <w:tabs>
          <w:tab w:val="left" w:pos="0"/>
        </w:tabs>
        <w:spacing w:after="0" w:line="276" w:lineRule="auto"/>
        <w:ind w:rightChars="59" w:right="130"/>
        <w:jc w:val="center"/>
        <w:rPr>
          <w:rFonts w:ascii="Cambria" w:hAnsi="Cambria"/>
          <w:b/>
          <w:lang w:val="id-ID"/>
        </w:rPr>
      </w:pPr>
      <w:r w:rsidRPr="00913159">
        <w:rPr>
          <w:rFonts w:ascii="Cambria" w:hAnsi="Cambria"/>
          <w:b/>
          <w:lang w:val="id-ID"/>
        </w:rPr>
        <w:t>Rahardi</w:t>
      </w:r>
      <w:r w:rsidR="00473768" w:rsidRPr="00913159">
        <w:rPr>
          <w:rFonts w:ascii="Cambria" w:hAnsi="Cambria"/>
          <w:b/>
          <w:lang w:val="id-ID"/>
        </w:rPr>
        <w:t>, Istiatin, Yunia Wahdiati</w:t>
      </w:r>
    </w:p>
    <w:p w14:paraId="5C130DC6" w14:textId="77777777" w:rsidR="00EC1E99" w:rsidRPr="00913159" w:rsidRDefault="00EC1E99" w:rsidP="00885CED">
      <w:pPr>
        <w:spacing w:after="0" w:line="276" w:lineRule="auto"/>
        <w:jc w:val="center"/>
        <w:rPr>
          <w:rFonts w:ascii="Cambria" w:hAnsi="Cambria"/>
          <w:bCs/>
          <w:lang w:val="en-ID"/>
        </w:rPr>
      </w:pPr>
      <w:r w:rsidRPr="00913159">
        <w:rPr>
          <w:rFonts w:ascii="Cambria" w:hAnsi="Cambria"/>
          <w:bCs/>
          <w:lang w:val="en-ID"/>
        </w:rPr>
        <w:t>Management Faculty, Postgraduate Program, Batik Islamic University, Surakarta</w:t>
      </w:r>
    </w:p>
    <w:p w14:paraId="620449C8" w14:textId="77777777" w:rsidR="00473768" w:rsidRPr="00913159" w:rsidRDefault="00000000" w:rsidP="00885CED">
      <w:pPr>
        <w:pStyle w:val="NormalWeb"/>
        <w:spacing w:before="0" w:beforeAutospacing="0" w:after="0" w:afterAutospacing="0" w:line="276" w:lineRule="auto"/>
        <w:ind w:firstLine="567"/>
        <w:jc w:val="center"/>
        <w:rPr>
          <w:rFonts w:ascii="Cambria" w:hAnsi="Cambria"/>
          <w:i/>
          <w:sz w:val="22"/>
          <w:szCs w:val="22"/>
          <w:lang w:val="en"/>
        </w:rPr>
      </w:pPr>
      <w:hyperlink r:id="rId9" w:history="1">
        <w:r w:rsidR="003D1CFC" w:rsidRPr="00913159">
          <w:rPr>
            <w:rStyle w:val="Hyperlink"/>
            <w:rFonts w:ascii="Cambria" w:hAnsi="Cambria"/>
            <w:color w:val="auto"/>
            <w:sz w:val="22"/>
            <w:szCs w:val="22"/>
            <w:u w:val="none"/>
          </w:rPr>
          <w:t>yunita.kusumawardani85@gmail.com</w:t>
        </w:r>
      </w:hyperlink>
    </w:p>
    <w:p w14:paraId="598F6A3A" w14:textId="77777777" w:rsidR="003D1CFC" w:rsidRPr="00913159" w:rsidRDefault="003D1CFC" w:rsidP="00885CED">
      <w:pPr>
        <w:pStyle w:val="NormalWeb"/>
        <w:spacing w:before="0" w:beforeAutospacing="0" w:after="0" w:afterAutospacing="0" w:line="276" w:lineRule="auto"/>
        <w:ind w:firstLine="567"/>
        <w:jc w:val="center"/>
        <w:rPr>
          <w:rFonts w:ascii="Cambria" w:hAnsi="Cambria"/>
          <w:i/>
          <w:sz w:val="22"/>
          <w:szCs w:val="22"/>
          <w:lang w:val="en"/>
        </w:rPr>
      </w:pPr>
    </w:p>
    <w:p w14:paraId="6DEB147A" w14:textId="7447C3E5" w:rsidR="00E75EA5" w:rsidRPr="00913159" w:rsidRDefault="00913159" w:rsidP="00885CED">
      <w:pPr>
        <w:pStyle w:val="NormalWeb"/>
        <w:spacing w:before="0" w:beforeAutospacing="0" w:after="0" w:afterAutospacing="0" w:line="276" w:lineRule="auto"/>
        <w:rPr>
          <w:rFonts w:ascii="Cambria" w:hAnsi="Cambria"/>
          <w:b/>
          <w:bCs/>
          <w:i/>
          <w:sz w:val="20"/>
          <w:szCs w:val="20"/>
          <w:lang w:val="en"/>
        </w:rPr>
      </w:pPr>
      <w:r w:rsidRPr="00913159">
        <w:rPr>
          <w:rFonts w:ascii="Cambria" w:hAnsi="Cambria"/>
          <w:b/>
          <w:bCs/>
          <w:i/>
          <w:sz w:val="20"/>
          <w:szCs w:val="20"/>
          <w:lang w:val="en"/>
        </w:rPr>
        <w:t>ABSTRACT</w:t>
      </w:r>
    </w:p>
    <w:p w14:paraId="6E7D6B41" w14:textId="77777777" w:rsidR="00A26BEC" w:rsidRPr="00913159" w:rsidRDefault="00A26BEC" w:rsidP="00885CED">
      <w:pPr>
        <w:spacing w:after="0" w:line="276" w:lineRule="auto"/>
        <w:jc w:val="both"/>
        <w:rPr>
          <w:rFonts w:ascii="Cambria" w:eastAsia="Times New Roman" w:hAnsi="Cambria" w:cs="Times New Roman"/>
          <w:i/>
          <w:iCs/>
          <w:sz w:val="20"/>
          <w:szCs w:val="20"/>
        </w:rPr>
      </w:pPr>
      <w:r w:rsidRPr="00913159">
        <w:rPr>
          <w:rFonts w:ascii="Cambria" w:eastAsia="Times New Roman" w:hAnsi="Cambria" w:cs="Times New Roman"/>
          <w:i/>
          <w:iCs/>
          <w:sz w:val="20"/>
          <w:szCs w:val="20"/>
        </w:rPr>
        <w:t xml:space="preserve">        This study to analyze the response time of staff competence, healthcare facilities and complaint handling in relation to patient loyalty at the Tawangsari Community Health Center in </w:t>
      </w:r>
      <w:proofErr w:type="spellStart"/>
      <w:r w:rsidRPr="00913159">
        <w:rPr>
          <w:rFonts w:ascii="Cambria" w:eastAsia="Times New Roman" w:hAnsi="Cambria" w:cs="Times New Roman"/>
          <w:i/>
          <w:iCs/>
          <w:sz w:val="20"/>
          <w:szCs w:val="20"/>
        </w:rPr>
        <w:t>Sukoharjo</w:t>
      </w:r>
      <w:proofErr w:type="spellEnd"/>
      <w:r w:rsidRPr="00913159">
        <w:rPr>
          <w:rFonts w:ascii="Cambria" w:eastAsia="Times New Roman" w:hAnsi="Cambria" w:cs="Times New Roman"/>
          <w:i/>
          <w:iCs/>
          <w:sz w:val="20"/>
          <w:szCs w:val="20"/>
        </w:rPr>
        <w:t xml:space="preserve"> Regency, both simultaneously and individually. This research method employs quantitative approach with a descriptive research design. The study population consists of outpatients at the Tawangsari Community Health Center in </w:t>
      </w:r>
      <w:proofErr w:type="spellStart"/>
      <w:r w:rsidRPr="00913159">
        <w:rPr>
          <w:rFonts w:ascii="Cambria" w:eastAsia="Times New Roman" w:hAnsi="Cambria" w:cs="Times New Roman"/>
          <w:i/>
          <w:iCs/>
          <w:sz w:val="20"/>
          <w:szCs w:val="20"/>
        </w:rPr>
        <w:t>Sukoharjo</w:t>
      </w:r>
      <w:proofErr w:type="spellEnd"/>
      <w:r w:rsidRPr="00913159">
        <w:rPr>
          <w:rFonts w:ascii="Cambria" w:eastAsia="Times New Roman" w:hAnsi="Cambria" w:cs="Times New Roman"/>
          <w:i/>
          <w:iCs/>
          <w:sz w:val="20"/>
          <w:szCs w:val="20"/>
        </w:rPr>
        <w:t xml:space="preserve"> Regency, with a sampling technique using the census method, resulting in a sample size of 120 patients. Data collection was carried out via a questionnaire. The data analysis techniques used included multiple linear regression, the F – </w:t>
      </w:r>
      <w:proofErr w:type="gramStart"/>
      <w:r w:rsidRPr="00913159">
        <w:rPr>
          <w:rFonts w:ascii="Cambria" w:eastAsia="Times New Roman" w:hAnsi="Cambria" w:cs="Times New Roman"/>
          <w:i/>
          <w:iCs/>
          <w:sz w:val="20"/>
          <w:szCs w:val="20"/>
        </w:rPr>
        <w:t>test ,</w:t>
      </w:r>
      <w:proofErr w:type="gramEnd"/>
      <w:r w:rsidRPr="00913159">
        <w:rPr>
          <w:rFonts w:ascii="Cambria" w:eastAsia="Times New Roman" w:hAnsi="Cambria" w:cs="Times New Roman"/>
          <w:i/>
          <w:iCs/>
          <w:sz w:val="20"/>
          <w:szCs w:val="20"/>
        </w:rPr>
        <w:t xml:space="preserve"> t -test and the coefficient of determination. The research findings indicate that, both individually and collectively, the variables of service response time, staff competence, healthcare facilities and complaint handling have a significant impact on patient loyalty at the </w:t>
      </w:r>
      <w:proofErr w:type="spellStart"/>
      <w:r w:rsidRPr="00913159">
        <w:rPr>
          <w:rFonts w:ascii="Cambria" w:eastAsia="Times New Roman" w:hAnsi="Cambria" w:cs="Times New Roman"/>
          <w:i/>
          <w:iCs/>
          <w:sz w:val="20"/>
          <w:szCs w:val="20"/>
        </w:rPr>
        <w:t>Puskesmas</w:t>
      </w:r>
      <w:proofErr w:type="spellEnd"/>
      <w:r w:rsidRPr="00913159">
        <w:rPr>
          <w:rFonts w:ascii="Cambria" w:eastAsia="Times New Roman" w:hAnsi="Cambria" w:cs="Times New Roman"/>
          <w:i/>
          <w:iCs/>
          <w:sz w:val="20"/>
          <w:szCs w:val="20"/>
        </w:rPr>
        <w:t xml:space="preserve"> </w:t>
      </w:r>
      <w:proofErr w:type="spellStart"/>
      <w:r w:rsidRPr="00913159">
        <w:rPr>
          <w:rFonts w:ascii="Cambria" w:eastAsia="Times New Roman" w:hAnsi="Cambria" w:cs="Times New Roman"/>
          <w:i/>
          <w:iCs/>
          <w:sz w:val="20"/>
          <w:szCs w:val="20"/>
        </w:rPr>
        <w:t>Tawangsari</w:t>
      </w:r>
      <w:proofErr w:type="spellEnd"/>
      <w:r w:rsidRPr="00913159">
        <w:rPr>
          <w:rFonts w:ascii="Cambria" w:eastAsia="Times New Roman" w:hAnsi="Cambria" w:cs="Times New Roman"/>
          <w:i/>
          <w:iCs/>
          <w:sz w:val="20"/>
          <w:szCs w:val="20"/>
        </w:rPr>
        <w:t xml:space="preserve"> in </w:t>
      </w:r>
      <w:proofErr w:type="spellStart"/>
      <w:r w:rsidRPr="00913159">
        <w:rPr>
          <w:rFonts w:ascii="Cambria" w:eastAsia="Times New Roman" w:hAnsi="Cambria" w:cs="Times New Roman"/>
          <w:i/>
          <w:iCs/>
          <w:sz w:val="20"/>
          <w:szCs w:val="20"/>
        </w:rPr>
        <w:t>Sukoharjo</w:t>
      </w:r>
      <w:proofErr w:type="spellEnd"/>
      <w:r w:rsidRPr="00913159">
        <w:rPr>
          <w:rFonts w:ascii="Cambria" w:eastAsia="Times New Roman" w:hAnsi="Cambria" w:cs="Times New Roman"/>
          <w:i/>
          <w:iCs/>
          <w:sz w:val="20"/>
          <w:szCs w:val="20"/>
        </w:rPr>
        <w:t xml:space="preserve"> Regency. Therefore, it is recommended that the </w:t>
      </w:r>
      <w:proofErr w:type="spellStart"/>
      <w:r w:rsidRPr="00913159">
        <w:rPr>
          <w:rFonts w:ascii="Cambria" w:eastAsia="Times New Roman" w:hAnsi="Cambria" w:cs="Times New Roman"/>
          <w:i/>
          <w:iCs/>
          <w:sz w:val="20"/>
          <w:szCs w:val="20"/>
        </w:rPr>
        <w:t>Puskesmas</w:t>
      </w:r>
      <w:proofErr w:type="spellEnd"/>
      <w:r w:rsidRPr="00913159">
        <w:rPr>
          <w:rFonts w:ascii="Cambria" w:eastAsia="Times New Roman" w:hAnsi="Cambria" w:cs="Times New Roman"/>
          <w:i/>
          <w:iCs/>
          <w:sz w:val="20"/>
          <w:szCs w:val="20"/>
        </w:rPr>
        <w:t xml:space="preserve"> management improve service response times through innovation, enhance staff competence through training, maintain the quality of healthcare facilities, and ensure a more responsive and targeted complaint handling process, increasing patient loyalty.</w:t>
      </w:r>
    </w:p>
    <w:p w14:paraId="5C887BD9" w14:textId="77777777" w:rsidR="00310464" w:rsidRPr="00913159" w:rsidRDefault="00A26BEC" w:rsidP="00885CED">
      <w:pPr>
        <w:spacing w:after="0" w:line="276" w:lineRule="auto"/>
        <w:jc w:val="both"/>
        <w:rPr>
          <w:rFonts w:ascii="Cambria" w:eastAsia="Times New Roman" w:hAnsi="Cambria" w:cs="Times New Roman"/>
          <w:b/>
          <w:bCs/>
          <w:i/>
          <w:iCs/>
          <w:sz w:val="20"/>
          <w:szCs w:val="20"/>
        </w:rPr>
      </w:pPr>
      <w:r w:rsidRPr="00913159">
        <w:rPr>
          <w:rFonts w:ascii="Cambria" w:eastAsia="Times New Roman" w:hAnsi="Cambria" w:cs="Times New Roman"/>
          <w:b/>
          <w:bCs/>
          <w:i/>
          <w:iCs/>
          <w:sz w:val="20"/>
          <w:szCs w:val="20"/>
        </w:rPr>
        <w:t>Keywords: Patient Satisfaction, Response Time, Service Quality, Staff Competence, Healthcare Facilities, Complaint Handling</w:t>
      </w:r>
    </w:p>
    <w:p w14:paraId="7B040893" w14:textId="77777777" w:rsidR="00A26BEC" w:rsidRPr="00913159" w:rsidRDefault="00A26BEC" w:rsidP="00885CED">
      <w:pPr>
        <w:spacing w:after="0" w:line="276" w:lineRule="auto"/>
        <w:jc w:val="both"/>
        <w:rPr>
          <w:rFonts w:ascii="Cambria" w:eastAsia="SimSun" w:hAnsi="Cambria" w:cs="Times New Roman"/>
          <w:i/>
          <w:lang w:val="id-ID"/>
        </w:rPr>
      </w:pPr>
    </w:p>
    <w:p w14:paraId="64C9D9F3" w14:textId="77777777" w:rsidR="004355A2" w:rsidRPr="00913159" w:rsidRDefault="00000000" w:rsidP="00885CED">
      <w:pPr>
        <w:spacing w:after="0" w:line="276" w:lineRule="auto"/>
        <w:jc w:val="both"/>
        <w:rPr>
          <w:rFonts w:ascii="Cambria" w:eastAsia="Cambria" w:hAnsi="Cambria" w:cs="Cambria"/>
          <w:b/>
          <w:lang w:val="en-ID"/>
        </w:rPr>
      </w:pPr>
      <w:r w:rsidRPr="00913159">
        <w:rPr>
          <w:rFonts w:ascii="Cambria" w:eastAsia="Cambria" w:hAnsi="Cambria" w:cs="Cambria"/>
          <w:b/>
          <w:lang w:val="en-ID"/>
        </w:rPr>
        <w:t>INTRODUCTION</w:t>
      </w:r>
    </w:p>
    <w:p w14:paraId="2EBB2482" w14:textId="77777777" w:rsidR="00A26BEC" w:rsidRPr="00913159" w:rsidRDefault="00A26BEC" w:rsidP="00885CED">
      <w:pPr>
        <w:spacing w:after="0" w:line="276" w:lineRule="auto"/>
        <w:jc w:val="both"/>
        <w:rPr>
          <w:rFonts w:ascii="Cambria" w:eastAsia="Times New Roman" w:hAnsi="Cambria" w:cs="Times New Roman"/>
          <w:bCs/>
          <w:lang w:val="en-ID" w:eastAsia="id-ID"/>
        </w:rPr>
      </w:pPr>
      <w:r w:rsidRPr="00913159">
        <w:rPr>
          <w:rFonts w:ascii="Cambria" w:eastAsia="Times New Roman" w:hAnsi="Cambria" w:cs="Times New Roman"/>
          <w:bCs/>
          <w:lang w:val="en-ID" w:eastAsia="id-ID"/>
        </w:rPr>
        <w:t xml:space="preserve">        Health is an important aspect in human life, when someone experiences a decline in their health, they tend to look for...</w:t>
      </w:r>
    </w:p>
    <w:p w14:paraId="5C7451E9" w14:textId="77777777" w:rsidR="00A26BEC" w:rsidRPr="00913159" w:rsidRDefault="00A26BEC" w:rsidP="00885CED">
      <w:pPr>
        <w:spacing w:after="0" w:line="276" w:lineRule="auto"/>
        <w:jc w:val="both"/>
        <w:rPr>
          <w:rFonts w:ascii="Cambria" w:eastAsia="Times New Roman" w:hAnsi="Cambria" w:cs="Times New Roman"/>
          <w:bCs/>
          <w:lang w:val="en-ID" w:eastAsia="id-ID"/>
        </w:rPr>
      </w:pPr>
      <w:r w:rsidRPr="00913159">
        <w:rPr>
          <w:rFonts w:ascii="Cambria" w:eastAsia="Times New Roman" w:hAnsi="Cambria" w:cs="Times New Roman"/>
          <w:bCs/>
          <w:lang w:val="en-ID" w:eastAsia="id-ID"/>
        </w:rPr>
        <w:t xml:space="preserve">health facilities to receive treatment. One frequently used health facility is the Community Health </w:t>
      </w:r>
      <w:proofErr w:type="spellStart"/>
      <w:r w:rsidRPr="00913159">
        <w:rPr>
          <w:rFonts w:ascii="Cambria" w:eastAsia="Times New Roman" w:hAnsi="Cambria" w:cs="Times New Roman"/>
          <w:bCs/>
          <w:lang w:val="en-ID" w:eastAsia="id-ID"/>
        </w:rPr>
        <w:t>Center</w:t>
      </w:r>
      <w:proofErr w:type="spellEnd"/>
      <w:r w:rsidRPr="00913159">
        <w:rPr>
          <w:rFonts w:ascii="Cambria" w:eastAsia="Times New Roman" w:hAnsi="Cambria" w:cs="Times New Roman"/>
          <w:bCs/>
          <w:lang w:val="en-ID" w:eastAsia="id-ID"/>
        </w:rPr>
        <w:t xml:space="preserve"> (</w:t>
      </w:r>
      <w:proofErr w:type="spellStart"/>
      <w:r w:rsidRPr="00913159">
        <w:rPr>
          <w:rFonts w:ascii="Cambria" w:eastAsia="Times New Roman" w:hAnsi="Cambria" w:cs="Times New Roman"/>
          <w:bCs/>
          <w:lang w:val="en-ID" w:eastAsia="id-ID"/>
        </w:rPr>
        <w:t>Puskesmas</w:t>
      </w:r>
      <w:proofErr w:type="spellEnd"/>
      <w:r w:rsidRPr="00913159">
        <w:rPr>
          <w:rFonts w:ascii="Cambria" w:eastAsia="Times New Roman" w:hAnsi="Cambria" w:cs="Times New Roman"/>
          <w:bCs/>
          <w:lang w:val="en-ID" w:eastAsia="id-ID"/>
        </w:rPr>
        <w:t>). According to Regulation of the Minister of Health of the Republic of Indonesia No. 19 of 2024</w:t>
      </w:r>
      <w:r w:rsidRPr="00913159">
        <w:rPr>
          <w:rFonts w:ascii="Cambria" w:eastAsia="Times New Roman" w:hAnsi="Cambria" w:cs="Times New Roman"/>
          <w:lang w:val="en-ID" w:eastAsia="id-ID"/>
        </w:rPr>
        <w:t xml:space="preserve">Community Health </w:t>
      </w:r>
      <w:proofErr w:type="spellStart"/>
      <w:r w:rsidRPr="00913159">
        <w:rPr>
          <w:rFonts w:ascii="Cambria" w:eastAsia="Times New Roman" w:hAnsi="Cambria" w:cs="Times New Roman"/>
          <w:lang w:val="en-ID" w:eastAsia="id-ID"/>
        </w:rPr>
        <w:t>Centers</w:t>
      </w:r>
      <w:proofErr w:type="spellEnd"/>
      <w:r w:rsidRPr="00913159">
        <w:rPr>
          <w:rFonts w:ascii="Cambria" w:eastAsia="Times New Roman" w:hAnsi="Cambria" w:cs="Times New Roman"/>
          <w:lang w:val="en-ID" w:eastAsia="id-ID"/>
        </w:rPr>
        <w:t xml:space="preserve">, hereinafter referred to as </w:t>
      </w:r>
      <w:proofErr w:type="spellStart"/>
      <w:r w:rsidRPr="00913159">
        <w:rPr>
          <w:rFonts w:ascii="Cambria" w:eastAsia="Times New Roman" w:hAnsi="Cambria" w:cs="Times New Roman"/>
          <w:lang w:val="en-ID" w:eastAsia="id-ID"/>
        </w:rPr>
        <w:t>Puskesmas</w:t>
      </w:r>
      <w:proofErr w:type="spellEnd"/>
      <w:r w:rsidRPr="00913159">
        <w:rPr>
          <w:rFonts w:ascii="Cambria" w:eastAsia="Times New Roman" w:hAnsi="Cambria" w:cs="Times New Roman"/>
          <w:lang w:val="en-ID" w:eastAsia="id-ID"/>
        </w:rPr>
        <w:t xml:space="preserve">, are first-level health service facilities that organize and coordinate promotive, preventive, curative, rehabilitative and/or palliative health services in their working areas.   </w:t>
      </w:r>
    </w:p>
    <w:p w14:paraId="75774ACE"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The Community Health </w:t>
      </w:r>
      <w:proofErr w:type="spellStart"/>
      <w:r w:rsidRPr="00913159">
        <w:rPr>
          <w:rFonts w:ascii="Cambria" w:eastAsia="Times New Roman" w:hAnsi="Cambria" w:cs="Times New Roman"/>
          <w:lang w:val="en-ID" w:eastAsia="id-ID"/>
        </w:rPr>
        <w:t>Center</w:t>
      </w:r>
      <w:proofErr w:type="spellEnd"/>
      <w:r w:rsidRPr="00913159">
        <w:rPr>
          <w:rFonts w:ascii="Cambria" w:eastAsia="Times New Roman" w:hAnsi="Cambria" w:cs="Times New Roman"/>
          <w:lang w:val="en-ID" w:eastAsia="id-ID"/>
        </w:rPr>
        <w:t xml:space="preserve"> is expected to strive to provide excellent service without discrimination so that the service is more effective and efficient. What patients expect in the service is a response time that is not long and clear, the competence of officers in serving, adequate health facilities, handling complaints if they do not meet expectations. Achieving goals cannot be separated from quality service, thus forming loyalty to come back and become the main and first destination if they need first-level health facilities.</w:t>
      </w:r>
    </w:p>
    <w:p w14:paraId="7C7DC801" w14:textId="77777777" w:rsidR="00A26BEC" w:rsidRPr="00913159" w:rsidRDefault="00A26BEC" w:rsidP="00885CED">
      <w:pPr>
        <w:spacing w:after="0" w:line="276" w:lineRule="auto"/>
        <w:jc w:val="both"/>
        <w:rPr>
          <w:rFonts w:ascii="Cambria" w:eastAsia="Times New Roman" w:hAnsi="Cambria" w:cs="Times New Roman"/>
          <w:bCs/>
          <w:lang w:val="en-ID" w:eastAsia="id-ID"/>
        </w:rPr>
      </w:pPr>
      <w:r w:rsidRPr="00913159">
        <w:rPr>
          <w:rFonts w:ascii="Cambria" w:eastAsia="Times New Roman" w:hAnsi="Cambria" w:cs="Times New Roman"/>
          <w:bCs/>
          <w:lang w:val="en-ID" w:eastAsia="id-ID"/>
        </w:rPr>
        <w:t xml:space="preserve">        Patient loyalty is a crucial foundation that opens up opportunities for every sector, especially healthcare facilities. This is because patient loyalty to the services they use can encourage them to share positive information with others about the </w:t>
      </w:r>
      <w:r w:rsidRPr="00913159">
        <w:rPr>
          <w:rFonts w:ascii="Cambria" w:eastAsia="Times New Roman" w:hAnsi="Cambria" w:cs="Times New Roman"/>
          <w:bCs/>
          <w:lang w:val="en-ID" w:eastAsia="id-ID"/>
        </w:rPr>
        <w:lastRenderedPageBreak/>
        <w:t>facility's excellence. Therefore, healthcare facilities must have the ability to achieve and maintain patient loyalty. Loyalty can be manifested in the form of loyalty to an individual, a job, or a product, whether goods or services (</w:t>
      </w:r>
      <w:proofErr w:type="spellStart"/>
      <w:r w:rsidRPr="00913159">
        <w:rPr>
          <w:rFonts w:ascii="Cambria" w:eastAsia="Times New Roman" w:hAnsi="Cambria" w:cs="Times New Roman"/>
          <w:bCs/>
          <w:lang w:val="en-ID" w:eastAsia="id-ID"/>
        </w:rPr>
        <w:t>Sumadi</w:t>
      </w:r>
      <w:proofErr w:type="spellEnd"/>
      <w:r w:rsidRPr="00913159">
        <w:rPr>
          <w:rFonts w:ascii="Cambria" w:eastAsia="Times New Roman" w:hAnsi="Cambria" w:cs="Times New Roman"/>
          <w:bCs/>
          <w:lang w:val="en-ID" w:eastAsia="id-ID"/>
        </w:rPr>
        <w:t xml:space="preserve"> et al., 2022). Customers' tendency to demonstrate loyalty often focuses on the product or service offered. This loyalty is realized when someone commits to continuing to use a service continuously in the future. Patient loyalty also impacts various influencing factors.</w:t>
      </w:r>
    </w:p>
    <w:p w14:paraId="006EC248"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While the public may only consider the service provider's perspective, service quality is also crucial for patient loyalty. Various methods can be used to measure service quality, one effective approach is from the perspective of the consumer or patient. Quality must begin with consumer needs and end with consumer perceptions (</w:t>
      </w:r>
      <w:proofErr w:type="spellStart"/>
      <w:r w:rsidRPr="00913159">
        <w:rPr>
          <w:rFonts w:ascii="Cambria" w:eastAsia="Times New Roman" w:hAnsi="Cambria" w:cs="Times New Roman"/>
          <w:lang w:val="en-ID" w:eastAsia="id-ID"/>
        </w:rPr>
        <w:t>Sumadi</w:t>
      </w:r>
      <w:proofErr w:type="spellEnd"/>
      <w:r w:rsidRPr="00913159">
        <w:rPr>
          <w:rFonts w:ascii="Cambria" w:eastAsia="Times New Roman" w:hAnsi="Cambria" w:cs="Times New Roman"/>
          <w:lang w:val="en-ID" w:eastAsia="id-ID"/>
        </w:rPr>
        <w:t xml:space="preserve"> et al., 2022).</w:t>
      </w:r>
    </w:p>
    <w:p w14:paraId="341FF7A2"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Quality healthcare services will have a positive impact on patient loyalty (Sari 2020). Quality healthcare services will also have an impact on increasing patient loyalty to the Community Health </w:t>
      </w:r>
      <w:proofErr w:type="spellStart"/>
      <w:r w:rsidRPr="00913159">
        <w:rPr>
          <w:rFonts w:ascii="Cambria" w:eastAsia="Times New Roman" w:hAnsi="Cambria" w:cs="Times New Roman"/>
          <w:lang w:val="en-ID" w:eastAsia="id-ID"/>
        </w:rPr>
        <w:t>Center</w:t>
      </w:r>
      <w:proofErr w:type="spellEnd"/>
      <w:r w:rsidRPr="00913159">
        <w:rPr>
          <w:rFonts w:ascii="Cambria" w:eastAsia="Times New Roman" w:hAnsi="Cambria" w:cs="Times New Roman"/>
          <w:lang w:val="en-ID" w:eastAsia="id-ID"/>
        </w:rPr>
        <w:t xml:space="preserve">. Patient loyalty is one manifestation and continuation of patient satisfaction in using the facilities and services provided by the Community Health </w:t>
      </w:r>
      <w:proofErr w:type="spellStart"/>
      <w:r w:rsidRPr="00913159">
        <w:rPr>
          <w:rFonts w:ascii="Cambria" w:eastAsia="Times New Roman" w:hAnsi="Cambria" w:cs="Times New Roman"/>
          <w:lang w:val="en-ID" w:eastAsia="id-ID"/>
        </w:rPr>
        <w:t>Center</w:t>
      </w:r>
      <w:proofErr w:type="spellEnd"/>
      <w:r w:rsidRPr="00913159">
        <w:rPr>
          <w:rFonts w:ascii="Cambria" w:eastAsia="Times New Roman" w:hAnsi="Cambria" w:cs="Times New Roman"/>
          <w:lang w:val="en-ID" w:eastAsia="id-ID"/>
        </w:rPr>
        <w:t xml:space="preserve">, as well as to remain a patient of the Community Health </w:t>
      </w:r>
      <w:proofErr w:type="spellStart"/>
      <w:r w:rsidRPr="00913159">
        <w:rPr>
          <w:rFonts w:ascii="Cambria" w:eastAsia="Times New Roman" w:hAnsi="Cambria" w:cs="Times New Roman"/>
          <w:lang w:val="en-ID" w:eastAsia="id-ID"/>
        </w:rPr>
        <w:t>Center</w:t>
      </w:r>
      <w:proofErr w:type="spellEnd"/>
      <w:r w:rsidRPr="00913159">
        <w:rPr>
          <w:rFonts w:ascii="Cambria" w:eastAsia="Times New Roman" w:hAnsi="Cambria" w:cs="Times New Roman"/>
          <w:lang w:val="en-ID" w:eastAsia="id-ID"/>
        </w:rPr>
        <w:t xml:space="preserve">. Loyalty is one proof of a patient to always be a customer, who has strength and a positive attitude towards the Community Health </w:t>
      </w:r>
      <w:proofErr w:type="spellStart"/>
      <w:r w:rsidRPr="00913159">
        <w:rPr>
          <w:rFonts w:ascii="Cambria" w:eastAsia="Times New Roman" w:hAnsi="Cambria" w:cs="Times New Roman"/>
          <w:lang w:val="en-ID" w:eastAsia="id-ID"/>
        </w:rPr>
        <w:t>Center</w:t>
      </w:r>
      <w:proofErr w:type="spellEnd"/>
      <w:r w:rsidRPr="00913159">
        <w:rPr>
          <w:rFonts w:ascii="Cambria" w:eastAsia="Times New Roman" w:hAnsi="Cambria" w:cs="Times New Roman"/>
          <w:lang w:val="en-ID" w:eastAsia="id-ID"/>
        </w:rPr>
        <w:t>. From this explanation, it can be concluded that each patient has a different basis for loyalty, this depends on the objectivity of each patient (Sari 2020).</w:t>
      </w:r>
    </w:p>
    <w:p w14:paraId="496BD386"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Patient experience describes an impression that he feels in assessing the suitability of performance and expectations, so it really determines patient trust which leads to the level of patient loyalty, patients who are impressed with their experience in feeling the suitability of expectations with service performance, have an impact on their level of loyalty, patient experience is formed through the quality of service that can provide satisfaction, so that it determines the level of loyalty to the Community Health </w:t>
      </w:r>
      <w:proofErr w:type="spellStart"/>
      <w:r w:rsidRPr="00913159">
        <w:rPr>
          <w:rFonts w:ascii="Cambria" w:eastAsia="Times New Roman" w:hAnsi="Cambria" w:cs="Times New Roman"/>
          <w:lang w:val="en-ID" w:eastAsia="id-ID"/>
        </w:rPr>
        <w:t>Center</w:t>
      </w:r>
      <w:proofErr w:type="spellEnd"/>
      <w:r w:rsidRPr="00913159">
        <w:rPr>
          <w:rFonts w:ascii="Cambria" w:eastAsia="Times New Roman" w:hAnsi="Cambria" w:cs="Times New Roman"/>
          <w:lang w:val="en-ID" w:eastAsia="id-ID"/>
        </w:rPr>
        <w:t>, and experience teaches patients about the sincerity of health workers in providing quality health services, so that it becomes a consideration for patients to remain loyal, because according to the Picker Patient Experience Questionnaire patient experience is formed by aspects of information and education, service coordination, physical comfort, emotional support, patient preferences, family and friend involvement, continuity and transition, and access to services (Tinafie et al. 2023)</w:t>
      </w:r>
    </w:p>
    <w:p w14:paraId="489EA092"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Patient loyalty is a patient's decision or commitment to reuse a healthcare service in the future, and the patient's willingness to refer or recommend the service they have experienced to others. Factors that can influence customer loyalty include value, including price and quality, image, comfort and convenience, customer satisfaction, service, and guarantees or warranties. According to Lusiana et al. (2020), the determining factors for patient loyalty are service quality, response time, hospital image, and patient satisfaction.</w:t>
      </w:r>
    </w:p>
    <w:p w14:paraId="0882DDF4"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One of the main indicators of improving service quality is response time efficiency. Patients assess service quality not only by the speed of recovery from their </w:t>
      </w:r>
      <w:r w:rsidRPr="00913159">
        <w:rPr>
          <w:rFonts w:ascii="Cambria" w:eastAsia="Times New Roman" w:hAnsi="Cambria" w:cs="Times New Roman"/>
          <w:lang w:val="en-ID" w:eastAsia="id-ID"/>
        </w:rPr>
        <w:lastRenderedPageBreak/>
        <w:t>illness, but also by other aspects such as the speed of service, the accuracy of medical procedures, and the friendliness of healthcare workers.</w:t>
      </w:r>
    </w:p>
    <w:p w14:paraId="1F89961C"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Along with the development of science and technology, Community Health </w:t>
      </w:r>
      <w:proofErr w:type="spellStart"/>
      <w:r w:rsidRPr="00913159">
        <w:rPr>
          <w:rFonts w:ascii="Cambria" w:eastAsia="Times New Roman" w:hAnsi="Cambria" w:cs="Times New Roman"/>
          <w:lang w:val="en-ID" w:eastAsia="id-ID"/>
        </w:rPr>
        <w:t>Centers</w:t>
      </w:r>
      <w:proofErr w:type="spellEnd"/>
      <w:r w:rsidRPr="00913159">
        <w:rPr>
          <w:rFonts w:ascii="Cambria" w:eastAsia="Times New Roman" w:hAnsi="Cambria" w:cs="Times New Roman"/>
          <w:lang w:val="en-ID" w:eastAsia="id-ID"/>
        </w:rPr>
        <w:t xml:space="preserve"> are required to continuously improve the quality of their services in order to meet public expectations for quality, efficient, and affordable health services.</w:t>
      </w:r>
    </w:p>
    <w:p w14:paraId="7C507A0C"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It is hoped that this will lead to increased service efficiency, particularly in reducing patient waiting times. Several previous studies, such as those conducted by </w:t>
      </w:r>
      <w:proofErr w:type="spellStart"/>
      <w:r w:rsidRPr="00913159">
        <w:rPr>
          <w:rFonts w:ascii="Cambria" w:eastAsia="Times New Roman" w:hAnsi="Cambria" w:cs="Times New Roman"/>
          <w:lang w:val="en-ID" w:eastAsia="id-ID"/>
        </w:rPr>
        <w:t>Rachmawati</w:t>
      </w:r>
      <w:proofErr w:type="spellEnd"/>
      <w:r w:rsidRPr="00913159">
        <w:rPr>
          <w:rFonts w:ascii="Cambria" w:eastAsia="Times New Roman" w:hAnsi="Cambria" w:cs="Times New Roman"/>
          <w:lang w:val="en-ID" w:eastAsia="id-ID"/>
        </w:rPr>
        <w:t xml:space="preserve"> et al. (2023), have demonstrated this.</w:t>
      </w:r>
    </w:p>
    <w:p w14:paraId="3667224F"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The length of the response time can affect the value of patient loyalty to health services, so if the long response time is not paid attention to and left untreated, it will reduce patient loyalty to the services they receive. Ultimately, patient loyalty as a user of health services will not be achieved, so it is not impossible that patients will seek services from other providers (Jaya &amp; </w:t>
      </w:r>
      <w:proofErr w:type="spellStart"/>
      <w:r w:rsidRPr="00913159">
        <w:rPr>
          <w:rFonts w:ascii="Cambria" w:eastAsia="Times New Roman" w:hAnsi="Cambria" w:cs="Times New Roman"/>
          <w:lang w:val="en-ID" w:eastAsia="id-ID"/>
        </w:rPr>
        <w:t>Apsari</w:t>
      </w:r>
      <w:proofErr w:type="spellEnd"/>
      <w:r w:rsidRPr="00913159">
        <w:rPr>
          <w:rFonts w:ascii="Cambria" w:eastAsia="Times New Roman" w:hAnsi="Cambria" w:cs="Times New Roman"/>
          <w:lang w:val="en-ID" w:eastAsia="id-ID"/>
        </w:rPr>
        <w:t>, 2018). According to the Minister of Health of the Republic of Indonesia No. 129 / Menkes / SK / IV / 2008 concerning minimum hospital service standards, it is stated that the standard waiting time for outpatient services is ≤ 60 minutes, if the waiting time is &gt; 60 minutes, outpatient services are said to be long or not in accordance with the established standards (Minister of Health, 2020)</w:t>
      </w:r>
    </w:p>
    <w:p w14:paraId="2D9C0598"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In the opinion of researchers, fast and responsive response time is very important in health services because it contributes directly to safety, quality of service, level of satisfaction of patients and their families, becomes the first choice if patients need to return to resolve health problems, and will form patient loyalty to the health service.</w:t>
      </w:r>
    </w:p>
    <w:p w14:paraId="558F6A57"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The competency requirements for human health resources include Medical Personnel, Health Personnel, and Supporting or Supporting Health Personnel. Medical Personnel consist of doctors who have competencies in the field of primary care family medicine, physicians, and dentists. Health Personnel include Health Personnel who have competencies in the field of community health, which are Health Personnel who have competencies obtained from education, training, and/or recognition of past learning in the field of community health. Competence plays an important role in increasing patient loyalty, because competence creates a positive health care experience, increases trust, and creates a stronger relationship between patients and health care providers (Purnama et al, 2025).</w:t>
      </w:r>
    </w:p>
    <w:p w14:paraId="708692E9"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In the opinion of researchers, the competence of reliable and experienced officers who always update their abilities according to current developments is very important in forming patient loyalty in providing quality and safe health services for the community.     </w:t>
      </w:r>
    </w:p>
    <w:p w14:paraId="75BEE928"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Health Service Facilities are places and/or tools used to provide health services to individuals or the community with a promotive, preventive, curative, rehabilitative, and/or palliative approach carried out by the central government, regional government, and/or the community.</w:t>
      </w:r>
    </w:p>
    <w:p w14:paraId="38038EC1"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Buildings are constructed with attention to function, security, comfort, safety and health protection, as well as ease in providing services for everyone, including people with disabilities, children and the elderly.</w:t>
      </w:r>
    </w:p>
    <w:p w14:paraId="7B885940"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lastRenderedPageBreak/>
        <w:t xml:space="preserve">        Medical devices, including simple diagnostic devices, must a) have a distribution permit in accordance with the provisions of laws and regulations. b) be tested and calibrated periodically by authorized testing and calibration institutions.</w:t>
      </w:r>
    </w:p>
    <w:p w14:paraId="38D4F5F8"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The type and quantity of diagnostic medical devices refer to the simple medical device standards set by the Minister. These standards can be adjusted according to health service needs or adapted to other devices with similar functions. The availability and improvement of healthcare facilities, including buildings and equipment, have a positive impact on patient loyalty (Ahdan et al., 2021).</w:t>
      </w:r>
    </w:p>
    <w:p w14:paraId="5CECFF89"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According to researchers, adequate buildings and medical equipment that meet standards are the main foundation in providing professional, safe, and quality health services that guarantee patient safety, the efficiency of medical personnel, and will increase patient loyalty.</w:t>
      </w:r>
    </w:p>
    <w:p w14:paraId="0B141FD0"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Complaint handling affects trust, so that by improving complaint handling that meets patient expectations, patient trust in services will increase. This situation shows that customer complaint handling is an organization's effort to correct errors in the products or services it sells to customers with the aim of restoring the situation and restoring customer trust, because the complaints submitted by patients are due to non-conformities. (</w:t>
      </w:r>
      <w:proofErr w:type="spellStart"/>
      <w:r w:rsidRPr="00913159">
        <w:rPr>
          <w:rFonts w:ascii="Cambria" w:eastAsia="Times New Roman" w:hAnsi="Cambria" w:cs="Times New Roman"/>
          <w:lang w:val="en-ID" w:eastAsia="id-ID"/>
        </w:rPr>
        <w:t>Afidahtinafie</w:t>
      </w:r>
      <w:proofErr w:type="spellEnd"/>
      <w:r w:rsidRPr="00913159">
        <w:rPr>
          <w:rFonts w:ascii="Cambria" w:eastAsia="Times New Roman" w:hAnsi="Cambria" w:cs="Times New Roman"/>
          <w:lang w:val="en-ID" w:eastAsia="id-ID"/>
        </w:rPr>
        <w:t>. et al 2024).</w:t>
      </w:r>
    </w:p>
    <w:p w14:paraId="1E151767"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Complaint handling has an impact on patient loyalty, meaning that with trust, patient experience and complaint handling can be higher in increasing patient loyalty, compared to without trust, and this concludes that trust is able to intervene positively in the relationship between patient experience and complaint handling on patient loyalty. This situation proves that customer trust is a form of attitude that is born from a sense of improvement.</w:t>
      </w:r>
    </w:p>
    <w:p w14:paraId="2A2F7DAC" w14:textId="77777777" w:rsidR="00A26BEC" w:rsidRPr="00913159" w:rsidRDefault="00A26BEC" w:rsidP="00885CED">
      <w:pPr>
        <w:spacing w:after="0" w:line="276" w:lineRule="auto"/>
        <w:jc w:val="both"/>
        <w:rPr>
          <w:rFonts w:ascii="Cambria" w:eastAsia="Times New Roman" w:hAnsi="Cambria" w:cs="Times New Roman"/>
          <w:lang w:val="en-ID" w:eastAsia="id-ID"/>
        </w:rPr>
      </w:pPr>
      <w:r w:rsidRPr="00913159">
        <w:rPr>
          <w:rFonts w:ascii="Cambria" w:eastAsia="Times New Roman" w:hAnsi="Cambria" w:cs="Times New Roman"/>
          <w:lang w:val="en-ID" w:eastAsia="id-ID"/>
        </w:rPr>
        <w:t xml:space="preserve">        In the opinion of researchers, effective and efficient complaint handling is crucial in healthcare because it can increase patient loyalty, prevent conflict, and provide valuable feedback for service improvement. Good complaint handling demonstrates an organization's commitment to transparency and accountability, improves reputation, and maintains public trust. Furthermore, prompt and appropriate complaint handling can reduce the risk of lawsuits and save costs resulting from claims or adverse events. This process also encourages positive change within the organization by applying complaint evaluation results to improve work performance and staff training. Overall, an effective complaint handling system meets patient expectations and satisfies complaints, creating a responsive, professional, and proactive service environment that meets patient and family needs and increases patient loyalty in utilizing healthcare services.</w:t>
      </w:r>
    </w:p>
    <w:p w14:paraId="7AF4EC3F" w14:textId="77777777" w:rsidR="00922484" w:rsidRPr="00913159" w:rsidRDefault="00922484" w:rsidP="00885CED">
      <w:pPr>
        <w:spacing w:after="0" w:line="276" w:lineRule="auto"/>
        <w:jc w:val="both"/>
        <w:rPr>
          <w:rFonts w:ascii="Cambria" w:eastAsia="Cambria" w:hAnsi="Cambria" w:cs="Cambria"/>
          <w:lang w:val="en-ID"/>
        </w:rPr>
      </w:pPr>
    </w:p>
    <w:p w14:paraId="21183901" w14:textId="77777777" w:rsidR="004355A2" w:rsidRPr="00913159" w:rsidRDefault="00000000" w:rsidP="00885CED">
      <w:pPr>
        <w:spacing w:after="0" w:line="276" w:lineRule="auto"/>
        <w:jc w:val="both"/>
        <w:rPr>
          <w:rFonts w:ascii="Cambria" w:eastAsia="Cambria" w:hAnsi="Cambria" w:cs="Cambria"/>
          <w:b/>
          <w:lang w:val="id-ID"/>
        </w:rPr>
      </w:pPr>
      <w:r w:rsidRPr="00913159">
        <w:rPr>
          <w:rFonts w:ascii="Cambria" w:eastAsia="Cambria" w:hAnsi="Cambria" w:cs="Cambria"/>
          <w:b/>
          <w:lang w:val="id-ID"/>
        </w:rPr>
        <w:t>RESEARCH METHODS</w:t>
      </w:r>
    </w:p>
    <w:p w14:paraId="394FA89D" w14:textId="77777777" w:rsidR="00A26BEC" w:rsidRPr="00913159" w:rsidRDefault="00A26BEC" w:rsidP="00885CED">
      <w:pPr>
        <w:spacing w:after="0" w:line="276" w:lineRule="auto"/>
        <w:ind w:firstLine="567"/>
        <w:jc w:val="both"/>
        <w:rPr>
          <w:rFonts w:ascii="Cambria" w:eastAsiaTheme="minorHAnsi" w:hAnsi="Cambria" w:cs="Times New Roman"/>
          <w:bCs/>
          <w:lang w:val="en-ID" w:eastAsia="en-US"/>
        </w:rPr>
      </w:pPr>
      <w:r w:rsidRPr="00913159">
        <w:rPr>
          <w:rFonts w:ascii="Cambria" w:eastAsiaTheme="minorHAnsi" w:hAnsi="Cambria" w:cs="Times New Roman"/>
          <w:bCs/>
          <w:lang w:val="id-ID" w:eastAsia="en-US"/>
        </w:rPr>
        <w:t xml:space="preserve">This study uses a quantitative approach. The researcher chose to use a quantitative descriptive method to determine the magnitude of the influence and significance between the variables of Service Response Time, Officer Competence, Health Facilities and Complaint Handling on Patient Loyalty. This study was conducted at the Tawangsari Community Health Center, Sukoharjo Regency, located </w:t>
      </w:r>
      <w:r w:rsidRPr="00913159">
        <w:rPr>
          <w:rFonts w:ascii="Cambria" w:eastAsiaTheme="minorHAnsi" w:hAnsi="Cambria" w:cs="Times New Roman"/>
          <w:bCs/>
          <w:lang w:val="id-ID" w:eastAsia="en-US"/>
        </w:rPr>
        <w:lastRenderedPageBreak/>
        <w:t>at Jalan Yos Sudarso No. 13, Tawangsari District, Sukoharjo Regency, Central Java 57561, Indonesia. The study period was carried out for 6 (six) months.</w:t>
      </w:r>
    </w:p>
    <w:p w14:paraId="4004734A" w14:textId="77777777" w:rsidR="00A26BEC" w:rsidRPr="00913159" w:rsidRDefault="00A26BEC" w:rsidP="00885CED">
      <w:pPr>
        <w:spacing w:after="0" w:line="276" w:lineRule="auto"/>
        <w:ind w:firstLine="567"/>
        <w:jc w:val="both"/>
        <w:rPr>
          <w:rFonts w:ascii="Cambria" w:hAnsi="Cambria" w:cs="Times New Roman"/>
          <w:bCs/>
          <w:lang w:val="id"/>
        </w:rPr>
      </w:pPr>
      <w:r w:rsidRPr="00913159">
        <w:rPr>
          <w:rFonts w:ascii="Cambria" w:eastAsiaTheme="minorHAnsi" w:hAnsi="Cambria" w:cs="Times New Roman"/>
          <w:bCs/>
          <w:lang w:val="id-ID" w:eastAsia="en-US"/>
        </w:rPr>
        <w:t>In this study, the author narrows the population, namely the total number of outpatients at the Community Health Center, in 2025 as many as 3750 / Month by calculating the sample size using sampling techniques, the number must be representative so that the research results can be generalized and the calculation does not require a sample number table, but can be done with simple formulas and calculations. Sugiyono's formula to determine the sample. The number of samples taken was 120 people or respondents. The sampling technique used in this study was the census technique. The census method is a sampling determination technique when all members of the population are used as samples.</w:t>
      </w:r>
      <w:r w:rsidR="00FD15E9" w:rsidRPr="00913159">
        <w:rPr>
          <w:rFonts w:ascii="Cambria" w:hAnsi="Cambria" w:cs="Times New Roman"/>
          <w:bCs/>
          <w:lang w:val="id"/>
        </w:rPr>
        <w:t>After the data tabulation was carried out, the data was processed using multiple linear regression analysis tools with the help of SPSS 27 software. The regression equation model used is as follows:</w:t>
      </w:r>
    </w:p>
    <w:p w14:paraId="05C7B913" w14:textId="77777777" w:rsidR="00A26BEC" w:rsidRPr="00913159" w:rsidRDefault="00A26BEC" w:rsidP="00885CED">
      <w:pPr>
        <w:spacing w:after="0" w:line="276" w:lineRule="auto"/>
        <w:ind w:firstLine="567"/>
        <w:jc w:val="both"/>
        <w:rPr>
          <w:rFonts w:ascii="Cambria" w:hAnsi="Cambria" w:cs="Times New Roman"/>
          <w:bCs/>
          <w:lang w:val="id"/>
        </w:rPr>
      </w:pPr>
      <w:r w:rsidRPr="00913159">
        <w:rPr>
          <w:rFonts w:ascii="Cambria" w:hAnsi="Cambria" w:cs="Times New Roman"/>
          <w:bCs/>
          <w:lang w:val="id-ID"/>
        </w:rPr>
        <w:t>Y = a + b1X1 + b2X2 + b3X3 + b4X4 + e</w:t>
      </w:r>
    </w:p>
    <w:p w14:paraId="5A13C38D" w14:textId="77777777" w:rsidR="00A26BEC" w:rsidRPr="00913159" w:rsidRDefault="00A26BEC" w:rsidP="00885CED">
      <w:pPr>
        <w:spacing w:after="0" w:line="276" w:lineRule="auto"/>
        <w:ind w:firstLine="567"/>
        <w:jc w:val="both"/>
        <w:rPr>
          <w:rFonts w:ascii="Cambria" w:hAnsi="Cambria" w:cs="Times New Roman"/>
          <w:b/>
          <w:bCs/>
          <w:lang w:val="id-ID"/>
        </w:rPr>
      </w:pPr>
      <w:r w:rsidRPr="00913159">
        <w:rPr>
          <w:rFonts w:ascii="Cambria" w:hAnsi="Cambria" w:cs="Times New Roman"/>
          <w:bCs/>
        </w:rPr>
        <w:fldChar w:fldCharType="begin" w:fldLock="1"/>
      </w:r>
      <w:r w:rsidRPr="00913159">
        <w:rPr>
          <w:rFonts w:ascii="Cambria" w:hAnsi="Cambria" w:cs="Times New Roman"/>
          <w:bCs/>
          <w:lang w:val="id"/>
        </w:rPr>
        <w:instrText>ADDIN CSL_CITATION {"citationItems":[{"id":"ITEM-1","itemData":{"author":[{"dropping-particle":"","family":"Ghozali","given":"Imam","non-dropping-particle":"","parse-names":false,"suffix":""}],"id":"ITEM-1","issued":{"date-parts":[["2015"]]},"publisher":"Semarang : Badan Penerbit Universitas Diponegoro","publisher-place":"Semarang","title":"Aplikasi Analisis Multivariate dengan Program IBM SPSS 23","type":"book"},"uris":["http://www.mendeley.com/documents/?uuid=d1a061ad-11b7-4183-9d7c-ac53b4aba51b"]}],"mendeley":{"formattedCitation":"(Ghozali, 2015)","manualFormatting":"(Ghozali, 2015: 86)","plainTextFormattedCitation":"(Ghozali, 2015)","previouslyFormattedCitation":"(Ghozali, 2015)"},"properties":{"noteIndex":0},"schema":"https://github.com/citation-style-language/schema/raw/master/csl-citation.json"}</w:instrText>
      </w:r>
      <w:r w:rsidRPr="00913159">
        <w:rPr>
          <w:rFonts w:ascii="Cambria" w:hAnsi="Cambria" w:cs="Times New Roman"/>
          <w:bCs/>
        </w:rPr>
        <w:fldChar w:fldCharType="separate"/>
      </w:r>
      <w:r w:rsidRPr="00913159">
        <w:rPr>
          <w:rFonts w:ascii="Cambria" w:hAnsi="Cambria" w:cs="Times New Roman"/>
          <w:bCs/>
          <w:lang w:val="id"/>
        </w:rPr>
        <w:t>(Ghozali, 2015: 86)</w:t>
      </w:r>
      <w:r w:rsidRPr="00913159">
        <w:rPr>
          <w:rFonts w:ascii="Cambria" w:hAnsi="Cambria" w:cs="Times New Roman"/>
          <w:bCs/>
          <w:lang w:val="id"/>
        </w:rPr>
        <w:fldChar w:fldCharType="end"/>
      </w:r>
      <w:r w:rsidRPr="00913159">
        <w:rPr>
          <w:rFonts w:ascii="Cambria" w:hAnsi="Cambria" w:cs="Times New Roman"/>
          <w:bCs/>
          <w:lang w:val="id-ID"/>
        </w:rPr>
        <w:t xml:space="preserve"> </w:t>
      </w:r>
    </w:p>
    <w:p w14:paraId="4341D429" w14:textId="77777777" w:rsidR="00A26BEC" w:rsidRPr="00913159" w:rsidRDefault="00A26BEC" w:rsidP="00885CED">
      <w:pPr>
        <w:spacing w:after="0" w:line="276" w:lineRule="auto"/>
        <w:ind w:firstLine="567"/>
        <w:jc w:val="both"/>
        <w:rPr>
          <w:rFonts w:ascii="Cambria" w:hAnsi="Cambria" w:cs="Times New Roman"/>
          <w:bCs/>
          <w:lang w:val="id-ID"/>
        </w:rPr>
      </w:pPr>
      <w:r w:rsidRPr="00913159">
        <w:rPr>
          <w:rFonts w:ascii="Cambria" w:hAnsi="Cambria" w:cs="Times New Roman"/>
          <w:bCs/>
          <w:lang w:val="id-ID"/>
        </w:rPr>
        <w:t>Information :</w:t>
      </w:r>
    </w:p>
    <w:p w14:paraId="4F74FDDD" w14:textId="77777777" w:rsidR="00A26BEC" w:rsidRPr="00913159" w:rsidRDefault="00A26BEC" w:rsidP="00885CED">
      <w:pPr>
        <w:spacing w:after="0" w:line="276" w:lineRule="auto"/>
        <w:ind w:firstLine="567"/>
        <w:jc w:val="both"/>
        <w:rPr>
          <w:rFonts w:ascii="Cambria" w:hAnsi="Cambria" w:cs="Times New Roman"/>
          <w:bCs/>
          <w:lang w:val="en-ID"/>
        </w:rPr>
      </w:pPr>
      <w:r w:rsidRPr="00913159">
        <w:rPr>
          <w:rFonts w:ascii="Cambria" w:hAnsi="Cambria" w:cs="Times New Roman"/>
          <w:bCs/>
          <w:lang w:val="id-ID"/>
        </w:rPr>
        <w:t>Y : Employee Performance Variable</w:t>
      </w:r>
    </w:p>
    <w:p w14:paraId="563BE060" w14:textId="77777777" w:rsidR="00A26BEC" w:rsidRPr="00913159" w:rsidRDefault="00A26BEC" w:rsidP="00885CED">
      <w:pPr>
        <w:spacing w:after="0" w:line="276" w:lineRule="auto"/>
        <w:ind w:firstLine="567"/>
        <w:jc w:val="both"/>
        <w:rPr>
          <w:rFonts w:ascii="Cambria" w:hAnsi="Cambria" w:cs="Times New Roman"/>
          <w:bCs/>
          <w:vertAlign w:val="subscript"/>
          <w:lang w:val="en-ID"/>
        </w:rPr>
      </w:pPr>
      <w:r w:rsidRPr="00913159">
        <w:rPr>
          <w:rFonts w:ascii="Cambria" w:hAnsi="Cambria" w:cs="Times New Roman"/>
          <w:bCs/>
          <w:lang w:val="id-ID"/>
        </w:rPr>
        <w:t>X1: Work Motivation Variable</w:t>
      </w:r>
    </w:p>
    <w:p w14:paraId="521B9B97" w14:textId="77777777" w:rsidR="00A26BEC" w:rsidRPr="00913159" w:rsidRDefault="00A26BEC" w:rsidP="00885CED">
      <w:pPr>
        <w:spacing w:after="0" w:line="276" w:lineRule="auto"/>
        <w:ind w:firstLine="567"/>
        <w:jc w:val="both"/>
        <w:rPr>
          <w:rFonts w:ascii="Cambria" w:hAnsi="Cambria" w:cs="Times New Roman"/>
          <w:bCs/>
          <w:vertAlign w:val="subscript"/>
          <w:lang w:val="en-ID"/>
        </w:rPr>
      </w:pPr>
      <w:r w:rsidRPr="00913159">
        <w:rPr>
          <w:rFonts w:ascii="Cambria" w:hAnsi="Cambria" w:cs="Times New Roman"/>
          <w:bCs/>
          <w:lang w:val="id-ID"/>
        </w:rPr>
        <w:t>X2 : Work Environment Variable</w:t>
      </w:r>
    </w:p>
    <w:p w14:paraId="082CCC19" w14:textId="77777777" w:rsidR="00A26BEC" w:rsidRPr="00913159" w:rsidRDefault="00A26BEC" w:rsidP="00885CED">
      <w:pPr>
        <w:spacing w:after="0" w:line="276" w:lineRule="auto"/>
        <w:ind w:firstLine="567"/>
        <w:jc w:val="both"/>
        <w:rPr>
          <w:rFonts w:ascii="Cambria" w:hAnsi="Cambria" w:cs="Times New Roman"/>
          <w:bCs/>
          <w:lang w:val="en-ID"/>
        </w:rPr>
      </w:pPr>
      <w:r w:rsidRPr="00913159">
        <w:rPr>
          <w:rFonts w:ascii="Cambria" w:hAnsi="Cambria" w:cs="Times New Roman"/>
          <w:bCs/>
          <w:lang w:val="id-ID"/>
        </w:rPr>
        <w:t>X3 : Workload Variable</w:t>
      </w:r>
    </w:p>
    <w:p w14:paraId="399E7F33" w14:textId="77777777" w:rsidR="00A26BEC" w:rsidRPr="00913159" w:rsidRDefault="00A26BEC" w:rsidP="00885CED">
      <w:pPr>
        <w:spacing w:after="0" w:line="276" w:lineRule="auto"/>
        <w:ind w:firstLine="567"/>
        <w:jc w:val="both"/>
        <w:rPr>
          <w:rFonts w:ascii="Cambria" w:hAnsi="Cambria" w:cs="Times New Roman"/>
          <w:bCs/>
          <w:lang w:val="en-ID"/>
        </w:rPr>
      </w:pPr>
      <w:r w:rsidRPr="00913159">
        <w:rPr>
          <w:rFonts w:ascii="Cambria" w:hAnsi="Cambria" w:cs="Times New Roman"/>
          <w:bCs/>
          <w:lang w:val="en-ID"/>
        </w:rPr>
        <w:t>X4: Occupational Safety and Health (K3) Variable</w:t>
      </w:r>
    </w:p>
    <w:p w14:paraId="10829023" w14:textId="77777777" w:rsidR="00A26BEC" w:rsidRPr="00913159" w:rsidRDefault="00A26BEC" w:rsidP="00885CED">
      <w:pPr>
        <w:spacing w:after="0" w:line="276" w:lineRule="auto"/>
        <w:ind w:firstLine="567"/>
        <w:jc w:val="both"/>
        <w:rPr>
          <w:rFonts w:ascii="Cambria" w:hAnsi="Cambria" w:cs="Times New Roman"/>
          <w:bCs/>
          <w:lang w:val="id-ID"/>
        </w:rPr>
      </w:pPr>
      <w:proofErr w:type="gramStart"/>
      <w:r w:rsidRPr="00913159">
        <w:rPr>
          <w:rFonts w:ascii="Cambria" w:hAnsi="Cambria" w:cs="Times New Roman"/>
          <w:bCs/>
          <w:lang w:val="en-ID"/>
        </w:rPr>
        <w:t>a :</w:t>
      </w:r>
      <w:proofErr w:type="gramEnd"/>
      <w:r w:rsidRPr="00913159">
        <w:rPr>
          <w:rFonts w:ascii="Cambria" w:hAnsi="Cambria" w:cs="Times New Roman"/>
          <w:bCs/>
          <w:lang w:val="en-ID"/>
        </w:rPr>
        <w:t xml:space="preserve"> constant</w:t>
      </w:r>
    </w:p>
    <w:p w14:paraId="7BE04290" w14:textId="77777777" w:rsidR="00A26BEC" w:rsidRPr="00913159" w:rsidRDefault="00A26BEC" w:rsidP="00885CED">
      <w:pPr>
        <w:spacing w:after="0" w:line="276" w:lineRule="auto"/>
        <w:ind w:firstLine="567"/>
        <w:jc w:val="both"/>
        <w:rPr>
          <w:rFonts w:ascii="Cambria" w:hAnsi="Cambria" w:cs="Times New Roman"/>
          <w:bCs/>
          <w:lang w:val="id-ID"/>
        </w:rPr>
      </w:pPr>
      <w:r w:rsidRPr="00913159">
        <w:rPr>
          <w:rFonts w:ascii="Cambria" w:hAnsi="Cambria" w:cs="Times New Roman"/>
          <w:bCs/>
          <w:lang w:val="id-ID"/>
        </w:rPr>
        <w:t>b1, b2, b3, b4 : correlation coefficient</w:t>
      </w:r>
    </w:p>
    <w:p w14:paraId="656682D3" w14:textId="77777777" w:rsidR="00A26BEC" w:rsidRPr="00913159" w:rsidRDefault="00A26BEC" w:rsidP="00885CED">
      <w:pPr>
        <w:spacing w:after="0" w:line="276" w:lineRule="auto"/>
        <w:ind w:firstLine="567"/>
        <w:jc w:val="both"/>
        <w:rPr>
          <w:rFonts w:ascii="Cambria" w:hAnsi="Cambria" w:cs="Times New Roman"/>
          <w:bCs/>
        </w:rPr>
      </w:pPr>
      <w:r w:rsidRPr="00913159">
        <w:rPr>
          <w:rFonts w:ascii="Cambria" w:hAnsi="Cambria" w:cs="Times New Roman"/>
          <w:bCs/>
          <w:lang w:val="id-ID"/>
        </w:rPr>
        <w:t>e : error term disturbing error</w:t>
      </w:r>
    </w:p>
    <w:p w14:paraId="28B5C3E0" w14:textId="77777777" w:rsidR="008653FF" w:rsidRDefault="008653FF" w:rsidP="00885CED">
      <w:pPr>
        <w:spacing w:after="0" w:line="276" w:lineRule="auto"/>
        <w:ind w:firstLine="567"/>
        <w:jc w:val="both"/>
        <w:rPr>
          <w:rFonts w:ascii="Cambria" w:eastAsia="Cambria" w:hAnsi="Cambria" w:cs="Cambria"/>
          <w:b/>
          <w:lang w:val="en-ID"/>
        </w:rPr>
      </w:pPr>
    </w:p>
    <w:p w14:paraId="0316AE71" w14:textId="77777777" w:rsidR="00D673E0" w:rsidRPr="00913159" w:rsidRDefault="00EC1E99" w:rsidP="00885CED">
      <w:pPr>
        <w:spacing w:after="0" w:line="276" w:lineRule="auto"/>
        <w:jc w:val="both"/>
        <w:rPr>
          <w:rFonts w:ascii="Cambria" w:eastAsia="Cambria" w:hAnsi="Cambria" w:cs="Cambria"/>
          <w:b/>
          <w:lang w:val="en-ID"/>
        </w:rPr>
      </w:pPr>
      <w:r w:rsidRPr="00913159">
        <w:rPr>
          <w:rFonts w:ascii="Cambria" w:eastAsia="Cambria" w:hAnsi="Cambria" w:cs="Cambria"/>
          <w:b/>
          <w:lang w:val="en-ID"/>
        </w:rPr>
        <w:t>RESULTS AND DISCUSSION</w:t>
      </w:r>
    </w:p>
    <w:p w14:paraId="182ED71B" w14:textId="77777777" w:rsidR="009F1EEA" w:rsidRPr="00913159" w:rsidRDefault="009F1EEA" w:rsidP="00885CED">
      <w:pPr>
        <w:tabs>
          <w:tab w:val="left" w:pos="720"/>
          <w:tab w:val="left" w:pos="1080"/>
        </w:tabs>
        <w:autoSpaceDE w:val="0"/>
        <w:autoSpaceDN w:val="0"/>
        <w:adjustRightInd w:val="0"/>
        <w:spacing w:after="0" w:line="276" w:lineRule="auto"/>
        <w:jc w:val="both"/>
        <w:rPr>
          <w:rFonts w:ascii="Cambria" w:hAnsi="Cambria"/>
          <w:b/>
          <w:bCs/>
          <w:lang w:val="nb-NO"/>
        </w:rPr>
      </w:pPr>
      <w:r w:rsidRPr="00913159">
        <w:rPr>
          <w:rFonts w:ascii="Cambria" w:hAnsi="Cambria"/>
          <w:b/>
          <w:bCs/>
          <w:lang w:val="nb-NO"/>
        </w:rPr>
        <w:t>Multiple Linear Regression</w:t>
      </w:r>
    </w:p>
    <w:p w14:paraId="57FEE72C" w14:textId="77777777" w:rsidR="00A26BEC" w:rsidRPr="00913159" w:rsidRDefault="00A26BEC" w:rsidP="00885CED">
      <w:pPr>
        <w:spacing w:after="0" w:line="276" w:lineRule="auto"/>
        <w:contextualSpacing/>
        <w:jc w:val="center"/>
        <w:outlineLvl w:val="1"/>
        <w:rPr>
          <w:rFonts w:ascii="Cambria" w:eastAsia="SimSun" w:hAnsi="Cambria" w:cs="Times New Roman"/>
          <w:b/>
          <w:bCs/>
          <w:lang w:val="en-ID"/>
        </w:rPr>
      </w:pPr>
      <w:r w:rsidRPr="00913159">
        <w:rPr>
          <w:rFonts w:ascii="Cambria" w:eastAsia="SimSun" w:hAnsi="Cambria" w:cs="Times New Roman"/>
          <w:b/>
          <w:bCs/>
          <w:lang w:val="en-ID"/>
        </w:rPr>
        <w:t>Table 1 Multiple Linear Regression Results</w:t>
      </w:r>
    </w:p>
    <w:tbl>
      <w:tblPr>
        <w:tblStyle w:val="TableGrid3"/>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228"/>
        <w:gridCol w:w="2070"/>
        <w:gridCol w:w="1530"/>
      </w:tblGrid>
      <w:tr w:rsidR="00913159" w:rsidRPr="00913159" w14:paraId="7AD1C0B8" w14:textId="77777777" w:rsidTr="0073632C">
        <w:trPr>
          <w:jc w:val="center"/>
        </w:trPr>
        <w:tc>
          <w:tcPr>
            <w:tcW w:w="510" w:type="dxa"/>
            <w:tcBorders>
              <w:top w:val="single" w:sz="4" w:space="0" w:color="auto"/>
              <w:left w:val="nil"/>
              <w:bottom w:val="single" w:sz="4" w:space="0" w:color="auto"/>
              <w:right w:val="nil"/>
            </w:tcBorders>
            <w:vAlign w:val="center"/>
          </w:tcPr>
          <w:p w14:paraId="68F774F3"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No</w:t>
            </w:r>
          </w:p>
        </w:tc>
        <w:tc>
          <w:tcPr>
            <w:tcW w:w="2228" w:type="dxa"/>
            <w:tcBorders>
              <w:top w:val="single" w:sz="4" w:space="0" w:color="auto"/>
              <w:left w:val="nil"/>
              <w:bottom w:val="single" w:sz="4" w:space="0" w:color="auto"/>
              <w:right w:val="nil"/>
            </w:tcBorders>
            <w:vAlign w:val="center"/>
          </w:tcPr>
          <w:p w14:paraId="784E72AE"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Variables</w:t>
            </w:r>
          </w:p>
        </w:tc>
        <w:tc>
          <w:tcPr>
            <w:tcW w:w="2070" w:type="dxa"/>
            <w:tcBorders>
              <w:top w:val="single" w:sz="4" w:space="0" w:color="auto"/>
              <w:left w:val="nil"/>
              <w:bottom w:val="single" w:sz="4" w:space="0" w:color="auto"/>
              <w:right w:val="nil"/>
            </w:tcBorders>
            <w:vAlign w:val="center"/>
          </w:tcPr>
          <w:p w14:paraId="74926655"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Unstandardized B</w:t>
            </w:r>
          </w:p>
        </w:tc>
        <w:tc>
          <w:tcPr>
            <w:tcW w:w="1530" w:type="dxa"/>
            <w:tcBorders>
              <w:top w:val="single" w:sz="4" w:space="0" w:color="auto"/>
              <w:left w:val="nil"/>
              <w:bottom w:val="single" w:sz="4" w:space="0" w:color="auto"/>
              <w:right w:val="nil"/>
            </w:tcBorders>
            <w:vAlign w:val="center"/>
          </w:tcPr>
          <w:p w14:paraId="2F6CC517"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Information</w:t>
            </w:r>
          </w:p>
        </w:tc>
      </w:tr>
      <w:tr w:rsidR="00913159" w:rsidRPr="00913159" w14:paraId="48DFC454" w14:textId="77777777" w:rsidTr="0073632C">
        <w:trPr>
          <w:jc w:val="center"/>
        </w:trPr>
        <w:tc>
          <w:tcPr>
            <w:tcW w:w="510" w:type="dxa"/>
            <w:tcBorders>
              <w:top w:val="single" w:sz="4" w:space="0" w:color="auto"/>
              <w:left w:val="nil"/>
              <w:bottom w:val="nil"/>
              <w:right w:val="nil"/>
            </w:tcBorders>
            <w:vAlign w:val="center"/>
          </w:tcPr>
          <w:p w14:paraId="5BDB49FA"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1</w:t>
            </w:r>
          </w:p>
        </w:tc>
        <w:tc>
          <w:tcPr>
            <w:tcW w:w="2228" w:type="dxa"/>
            <w:tcBorders>
              <w:top w:val="single" w:sz="4" w:space="0" w:color="auto"/>
              <w:left w:val="nil"/>
              <w:bottom w:val="nil"/>
              <w:right w:val="nil"/>
            </w:tcBorders>
            <w:vAlign w:val="center"/>
          </w:tcPr>
          <w:p w14:paraId="06B1F4D5"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(Constant)</w:t>
            </w:r>
          </w:p>
        </w:tc>
        <w:tc>
          <w:tcPr>
            <w:tcW w:w="2070" w:type="dxa"/>
            <w:tcBorders>
              <w:top w:val="single" w:sz="4" w:space="0" w:color="auto"/>
              <w:left w:val="nil"/>
              <w:bottom w:val="nil"/>
              <w:right w:val="nil"/>
            </w:tcBorders>
          </w:tcPr>
          <w:p w14:paraId="740A5044" w14:textId="77777777" w:rsidR="00A26BEC" w:rsidRPr="00913159" w:rsidRDefault="00A26BEC" w:rsidP="00885CED">
            <w:pPr>
              <w:autoSpaceDE w:val="0"/>
              <w:autoSpaceDN w:val="0"/>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6,964</w:t>
            </w:r>
          </w:p>
        </w:tc>
        <w:tc>
          <w:tcPr>
            <w:tcW w:w="1530" w:type="dxa"/>
            <w:tcBorders>
              <w:top w:val="single" w:sz="4" w:space="0" w:color="auto"/>
              <w:left w:val="nil"/>
              <w:bottom w:val="nil"/>
              <w:right w:val="nil"/>
            </w:tcBorders>
            <w:vAlign w:val="center"/>
          </w:tcPr>
          <w:p w14:paraId="4AB62615"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Positive</w:t>
            </w:r>
          </w:p>
        </w:tc>
      </w:tr>
      <w:tr w:rsidR="00913159" w:rsidRPr="00913159" w14:paraId="4E456A84" w14:textId="77777777" w:rsidTr="0073632C">
        <w:trPr>
          <w:jc w:val="center"/>
        </w:trPr>
        <w:tc>
          <w:tcPr>
            <w:tcW w:w="510" w:type="dxa"/>
            <w:tcBorders>
              <w:top w:val="nil"/>
              <w:left w:val="nil"/>
              <w:bottom w:val="nil"/>
              <w:right w:val="nil"/>
            </w:tcBorders>
            <w:vAlign w:val="center"/>
          </w:tcPr>
          <w:p w14:paraId="4B7B960B"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2</w:t>
            </w:r>
          </w:p>
        </w:tc>
        <w:tc>
          <w:tcPr>
            <w:tcW w:w="2228" w:type="dxa"/>
            <w:tcBorders>
              <w:top w:val="nil"/>
              <w:left w:val="nil"/>
              <w:bottom w:val="nil"/>
              <w:right w:val="nil"/>
            </w:tcBorders>
            <w:vAlign w:val="center"/>
          </w:tcPr>
          <w:p w14:paraId="5F38016E" w14:textId="77777777" w:rsidR="00A26BEC" w:rsidRPr="00913159" w:rsidRDefault="00A26BEC" w:rsidP="00885CED">
            <w:pPr>
              <w:tabs>
                <w:tab w:val="left" w:pos="709"/>
              </w:tabs>
              <w:spacing w:line="276" w:lineRule="auto"/>
              <w:ind w:firstLine="27"/>
              <w:jc w:val="center"/>
              <w:rPr>
                <w:rFonts w:ascii="Cambria" w:eastAsia="SimSun" w:hAnsi="Cambria" w:cs="Times New Roman"/>
                <w:sz w:val="22"/>
                <w:szCs w:val="22"/>
              </w:rPr>
            </w:pPr>
            <w:r w:rsidRPr="00913159">
              <w:rPr>
                <w:rFonts w:ascii="Cambria" w:eastAsia="SimSun" w:hAnsi="Cambria" w:cs="Times New Roman"/>
                <w:sz w:val="22"/>
                <w:szCs w:val="22"/>
              </w:rPr>
              <w:t>Service Response Time</w:t>
            </w:r>
          </w:p>
        </w:tc>
        <w:tc>
          <w:tcPr>
            <w:tcW w:w="2070" w:type="dxa"/>
            <w:tcBorders>
              <w:top w:val="nil"/>
              <w:left w:val="nil"/>
              <w:bottom w:val="nil"/>
              <w:right w:val="nil"/>
            </w:tcBorders>
          </w:tcPr>
          <w:p w14:paraId="029BC636" w14:textId="77777777" w:rsidR="00A26BEC" w:rsidRPr="00913159" w:rsidRDefault="00A26BEC" w:rsidP="00885CED">
            <w:pPr>
              <w:autoSpaceDE w:val="0"/>
              <w:autoSpaceDN w:val="0"/>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0.318</w:t>
            </w:r>
          </w:p>
        </w:tc>
        <w:tc>
          <w:tcPr>
            <w:tcW w:w="1530" w:type="dxa"/>
            <w:tcBorders>
              <w:top w:val="nil"/>
              <w:left w:val="nil"/>
              <w:bottom w:val="nil"/>
              <w:right w:val="nil"/>
            </w:tcBorders>
            <w:vAlign w:val="center"/>
          </w:tcPr>
          <w:p w14:paraId="2D0FB2A7"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Positive</w:t>
            </w:r>
          </w:p>
        </w:tc>
      </w:tr>
      <w:tr w:rsidR="00913159" w:rsidRPr="00913159" w14:paraId="3C215497" w14:textId="77777777" w:rsidTr="0073632C">
        <w:trPr>
          <w:jc w:val="center"/>
        </w:trPr>
        <w:tc>
          <w:tcPr>
            <w:tcW w:w="510" w:type="dxa"/>
            <w:tcBorders>
              <w:top w:val="nil"/>
              <w:left w:val="nil"/>
              <w:bottom w:val="nil"/>
              <w:right w:val="nil"/>
            </w:tcBorders>
            <w:vAlign w:val="center"/>
          </w:tcPr>
          <w:p w14:paraId="58141D1F"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3</w:t>
            </w:r>
          </w:p>
        </w:tc>
        <w:tc>
          <w:tcPr>
            <w:tcW w:w="2228" w:type="dxa"/>
            <w:tcBorders>
              <w:top w:val="nil"/>
              <w:left w:val="nil"/>
              <w:bottom w:val="nil"/>
              <w:right w:val="nil"/>
            </w:tcBorders>
            <w:vAlign w:val="center"/>
          </w:tcPr>
          <w:p w14:paraId="16AE1FEE" w14:textId="77777777" w:rsidR="00A26BEC" w:rsidRPr="00913159" w:rsidRDefault="00A26BEC" w:rsidP="00885CED">
            <w:pPr>
              <w:tabs>
                <w:tab w:val="left" w:pos="709"/>
              </w:tabs>
              <w:spacing w:line="276" w:lineRule="auto"/>
              <w:ind w:firstLine="27"/>
              <w:jc w:val="center"/>
              <w:rPr>
                <w:rFonts w:ascii="Cambria" w:eastAsia="SimSun" w:hAnsi="Cambria" w:cs="Times New Roman"/>
                <w:sz w:val="22"/>
                <w:szCs w:val="22"/>
              </w:rPr>
            </w:pPr>
            <w:r w:rsidRPr="00913159">
              <w:rPr>
                <w:rFonts w:ascii="Cambria" w:eastAsia="SimSun" w:hAnsi="Cambria" w:cs="Times New Roman"/>
                <w:sz w:val="22"/>
                <w:szCs w:val="22"/>
              </w:rPr>
              <w:t>Officer Competence</w:t>
            </w:r>
          </w:p>
        </w:tc>
        <w:tc>
          <w:tcPr>
            <w:tcW w:w="2070" w:type="dxa"/>
            <w:tcBorders>
              <w:top w:val="nil"/>
              <w:left w:val="nil"/>
              <w:bottom w:val="nil"/>
              <w:right w:val="nil"/>
            </w:tcBorders>
          </w:tcPr>
          <w:p w14:paraId="310BB5FE" w14:textId="77777777" w:rsidR="00A26BEC" w:rsidRPr="00913159" w:rsidRDefault="00A26BEC" w:rsidP="00885CED">
            <w:pPr>
              <w:autoSpaceDE w:val="0"/>
              <w:autoSpaceDN w:val="0"/>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0.109</w:t>
            </w:r>
          </w:p>
        </w:tc>
        <w:tc>
          <w:tcPr>
            <w:tcW w:w="1530" w:type="dxa"/>
            <w:tcBorders>
              <w:top w:val="nil"/>
              <w:left w:val="nil"/>
              <w:bottom w:val="nil"/>
              <w:right w:val="nil"/>
            </w:tcBorders>
            <w:vAlign w:val="center"/>
          </w:tcPr>
          <w:p w14:paraId="2951A485"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Positive</w:t>
            </w:r>
          </w:p>
        </w:tc>
      </w:tr>
      <w:tr w:rsidR="00913159" w:rsidRPr="00913159" w14:paraId="42C3407C" w14:textId="77777777" w:rsidTr="0073632C">
        <w:trPr>
          <w:jc w:val="center"/>
        </w:trPr>
        <w:tc>
          <w:tcPr>
            <w:tcW w:w="510" w:type="dxa"/>
            <w:tcBorders>
              <w:top w:val="nil"/>
              <w:left w:val="nil"/>
              <w:bottom w:val="nil"/>
              <w:right w:val="nil"/>
            </w:tcBorders>
            <w:vAlign w:val="center"/>
          </w:tcPr>
          <w:p w14:paraId="65B6E943"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4</w:t>
            </w:r>
          </w:p>
        </w:tc>
        <w:tc>
          <w:tcPr>
            <w:tcW w:w="2228" w:type="dxa"/>
            <w:tcBorders>
              <w:top w:val="nil"/>
              <w:left w:val="nil"/>
              <w:bottom w:val="nil"/>
              <w:right w:val="nil"/>
            </w:tcBorders>
            <w:vAlign w:val="center"/>
          </w:tcPr>
          <w:p w14:paraId="351FA953" w14:textId="77777777" w:rsidR="00A26BEC" w:rsidRPr="00913159" w:rsidRDefault="00A26BEC" w:rsidP="00885CED">
            <w:pPr>
              <w:tabs>
                <w:tab w:val="left" w:pos="709"/>
              </w:tabs>
              <w:spacing w:line="276" w:lineRule="auto"/>
              <w:ind w:firstLine="27"/>
              <w:jc w:val="center"/>
              <w:rPr>
                <w:rFonts w:ascii="Cambria" w:eastAsia="SimSun" w:hAnsi="Cambria" w:cs="Times New Roman"/>
                <w:sz w:val="22"/>
                <w:szCs w:val="22"/>
              </w:rPr>
            </w:pPr>
            <w:r w:rsidRPr="00913159">
              <w:rPr>
                <w:rFonts w:ascii="Cambria" w:eastAsia="SimSun" w:hAnsi="Cambria" w:cs="Times New Roman"/>
                <w:sz w:val="22"/>
                <w:szCs w:val="22"/>
              </w:rPr>
              <w:t>Health Facilities</w:t>
            </w:r>
          </w:p>
        </w:tc>
        <w:tc>
          <w:tcPr>
            <w:tcW w:w="2070" w:type="dxa"/>
            <w:tcBorders>
              <w:top w:val="nil"/>
              <w:left w:val="nil"/>
              <w:bottom w:val="nil"/>
              <w:right w:val="nil"/>
            </w:tcBorders>
          </w:tcPr>
          <w:p w14:paraId="1AAFA3E8" w14:textId="77777777" w:rsidR="00A26BEC" w:rsidRPr="00913159" w:rsidRDefault="00A26BEC" w:rsidP="00885CED">
            <w:pPr>
              <w:autoSpaceDE w:val="0"/>
              <w:autoSpaceDN w:val="0"/>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0.192</w:t>
            </w:r>
          </w:p>
        </w:tc>
        <w:tc>
          <w:tcPr>
            <w:tcW w:w="1530" w:type="dxa"/>
            <w:tcBorders>
              <w:top w:val="nil"/>
              <w:left w:val="nil"/>
              <w:bottom w:val="nil"/>
              <w:right w:val="nil"/>
            </w:tcBorders>
            <w:vAlign w:val="center"/>
          </w:tcPr>
          <w:p w14:paraId="5F2FAB15"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Positive</w:t>
            </w:r>
          </w:p>
        </w:tc>
      </w:tr>
      <w:tr w:rsidR="00913159" w:rsidRPr="00913159" w14:paraId="094FB15E" w14:textId="77777777" w:rsidTr="0073632C">
        <w:trPr>
          <w:trHeight w:val="261"/>
          <w:jc w:val="center"/>
        </w:trPr>
        <w:tc>
          <w:tcPr>
            <w:tcW w:w="510" w:type="dxa"/>
            <w:tcBorders>
              <w:top w:val="nil"/>
              <w:left w:val="nil"/>
              <w:bottom w:val="single" w:sz="4" w:space="0" w:color="auto"/>
              <w:right w:val="nil"/>
            </w:tcBorders>
            <w:vAlign w:val="center"/>
          </w:tcPr>
          <w:p w14:paraId="578DB88D"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5</w:t>
            </w:r>
          </w:p>
        </w:tc>
        <w:tc>
          <w:tcPr>
            <w:tcW w:w="2228" w:type="dxa"/>
            <w:tcBorders>
              <w:top w:val="nil"/>
              <w:left w:val="nil"/>
              <w:bottom w:val="single" w:sz="4" w:space="0" w:color="auto"/>
              <w:right w:val="nil"/>
            </w:tcBorders>
            <w:vAlign w:val="center"/>
          </w:tcPr>
          <w:p w14:paraId="72EDDB73" w14:textId="77777777" w:rsidR="00A26BEC" w:rsidRPr="00913159" w:rsidRDefault="00A26BEC" w:rsidP="00885CED">
            <w:pPr>
              <w:tabs>
                <w:tab w:val="left" w:pos="709"/>
              </w:tabs>
              <w:spacing w:line="276" w:lineRule="auto"/>
              <w:ind w:firstLine="27"/>
              <w:jc w:val="center"/>
              <w:rPr>
                <w:rFonts w:ascii="Cambria" w:eastAsia="SimSun" w:hAnsi="Cambria" w:cs="Times New Roman"/>
                <w:b/>
                <w:sz w:val="22"/>
                <w:szCs w:val="22"/>
              </w:rPr>
            </w:pPr>
            <w:r w:rsidRPr="00913159">
              <w:rPr>
                <w:rFonts w:ascii="Cambria" w:eastAsia="SimSun" w:hAnsi="Cambria" w:cs="Times New Roman"/>
                <w:sz w:val="22"/>
                <w:szCs w:val="22"/>
              </w:rPr>
              <w:t>Complaint Handling</w:t>
            </w:r>
          </w:p>
        </w:tc>
        <w:tc>
          <w:tcPr>
            <w:tcW w:w="2070" w:type="dxa"/>
            <w:tcBorders>
              <w:top w:val="nil"/>
              <w:left w:val="nil"/>
              <w:bottom w:val="single" w:sz="4" w:space="0" w:color="auto"/>
              <w:right w:val="nil"/>
            </w:tcBorders>
          </w:tcPr>
          <w:p w14:paraId="2A08D000" w14:textId="77777777" w:rsidR="00A26BEC" w:rsidRPr="00913159" w:rsidRDefault="00A26BEC" w:rsidP="00885CED">
            <w:pPr>
              <w:autoSpaceDE w:val="0"/>
              <w:autoSpaceDN w:val="0"/>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0.166</w:t>
            </w:r>
          </w:p>
        </w:tc>
        <w:tc>
          <w:tcPr>
            <w:tcW w:w="1530" w:type="dxa"/>
            <w:tcBorders>
              <w:top w:val="nil"/>
              <w:left w:val="nil"/>
              <w:bottom w:val="single" w:sz="4" w:space="0" w:color="auto"/>
              <w:right w:val="nil"/>
            </w:tcBorders>
            <w:vAlign w:val="center"/>
          </w:tcPr>
          <w:p w14:paraId="2F206858" w14:textId="77777777" w:rsidR="00A26BEC" w:rsidRPr="00913159" w:rsidRDefault="00A26BEC" w:rsidP="00885CED">
            <w:pPr>
              <w:spacing w:line="276" w:lineRule="auto"/>
              <w:contextualSpacing/>
              <w:jc w:val="center"/>
              <w:rPr>
                <w:rFonts w:ascii="Cambria" w:eastAsia="SimSun" w:hAnsi="Cambria" w:cs="Times New Roman"/>
                <w:sz w:val="22"/>
                <w:szCs w:val="22"/>
              </w:rPr>
            </w:pPr>
            <w:r w:rsidRPr="00913159">
              <w:rPr>
                <w:rFonts w:ascii="Cambria" w:eastAsia="SimSun" w:hAnsi="Cambria" w:cs="Times New Roman"/>
                <w:sz w:val="22"/>
                <w:szCs w:val="22"/>
              </w:rPr>
              <w:t>Positive</w:t>
            </w:r>
          </w:p>
        </w:tc>
      </w:tr>
    </w:tbl>
    <w:p w14:paraId="51541BDE" w14:textId="77777777" w:rsidR="00A26BEC" w:rsidRPr="00913159" w:rsidRDefault="00A26BEC" w:rsidP="00885CED">
      <w:pPr>
        <w:spacing w:after="0" w:line="276" w:lineRule="auto"/>
        <w:ind w:left="990"/>
        <w:contextualSpacing/>
        <w:jc w:val="both"/>
        <w:outlineLvl w:val="1"/>
        <w:rPr>
          <w:rFonts w:ascii="Cambria" w:eastAsia="SimSun" w:hAnsi="Cambria" w:cs="Times New Roman"/>
          <w:lang w:val="sv-SE"/>
        </w:rPr>
      </w:pPr>
      <w:r w:rsidRPr="00913159">
        <w:rPr>
          <w:rFonts w:ascii="Cambria" w:eastAsia="SimSun" w:hAnsi="Cambria" w:cs="Times New Roman"/>
          <w:lang w:val="sv-SE"/>
        </w:rPr>
        <w:t>Source: processed data</w:t>
      </w:r>
    </w:p>
    <w:p w14:paraId="22BE00BF" w14:textId="77777777" w:rsidR="00A26BEC" w:rsidRPr="00913159" w:rsidRDefault="00A26BEC" w:rsidP="00885CED">
      <w:pPr>
        <w:autoSpaceDE w:val="0"/>
        <w:autoSpaceDN w:val="0"/>
        <w:adjustRightInd w:val="0"/>
        <w:spacing w:after="0" w:line="276" w:lineRule="auto"/>
        <w:jc w:val="both"/>
        <w:rPr>
          <w:rFonts w:ascii="Cambria" w:eastAsia="SimSun" w:hAnsi="Cambria" w:cs="Times New Roman"/>
          <w:lang w:val="en-ID"/>
        </w:rPr>
      </w:pPr>
      <w:r w:rsidRPr="00913159">
        <w:rPr>
          <w:rFonts w:ascii="Cambria" w:eastAsia="SimSun" w:hAnsi="Cambria" w:cs="Times New Roman"/>
          <w:lang w:val="en-ID"/>
        </w:rPr>
        <w:t>Based on the table above, it can be seen that the regression equation formed is:</w:t>
      </w:r>
    </w:p>
    <w:p w14:paraId="6E2F64D8" w14:textId="77777777" w:rsidR="00A26BEC" w:rsidRPr="00913159" w:rsidRDefault="00A26BEC" w:rsidP="00885CED">
      <w:pPr>
        <w:autoSpaceDE w:val="0"/>
        <w:autoSpaceDN w:val="0"/>
        <w:adjustRightInd w:val="0"/>
        <w:spacing w:after="0" w:line="276" w:lineRule="auto"/>
        <w:ind w:left="360" w:firstLine="426"/>
        <w:jc w:val="both"/>
        <w:rPr>
          <w:rFonts w:ascii="Cambria" w:eastAsia="SimSun" w:hAnsi="Cambria" w:cs="Times New Roman"/>
          <w:b/>
          <w:bCs/>
          <w:lang w:val="en-ID"/>
        </w:rPr>
      </w:pPr>
      <w:r w:rsidRPr="00913159">
        <w:rPr>
          <w:rFonts w:ascii="Cambria" w:eastAsia="SimSun" w:hAnsi="Cambria" w:cs="Times New Roman"/>
          <w:b/>
          <w:bCs/>
          <w:lang w:val="en-ID"/>
        </w:rPr>
        <w:t>Y = 6.964+ 0.318 X1 + 0.109 X2 + 0.192 X3+ 0.166</w:t>
      </w:r>
    </w:p>
    <w:p w14:paraId="2B3C9AEC" w14:textId="77777777" w:rsidR="00E76B78" w:rsidRPr="00913159" w:rsidRDefault="00E76B78" w:rsidP="00885CED">
      <w:pPr>
        <w:autoSpaceDE w:val="0"/>
        <w:autoSpaceDN w:val="0"/>
        <w:adjustRightInd w:val="0"/>
        <w:spacing w:after="0" w:line="276" w:lineRule="auto"/>
        <w:jc w:val="both"/>
        <w:rPr>
          <w:rFonts w:ascii="Cambria" w:eastAsia="SimSun" w:hAnsi="Cambria" w:cs="Times New Roman"/>
          <w:lang w:val="en-ID"/>
        </w:rPr>
      </w:pPr>
    </w:p>
    <w:p w14:paraId="4F100B4D" w14:textId="77777777" w:rsidR="00A26BEC" w:rsidRPr="00913159" w:rsidRDefault="00A26BEC" w:rsidP="00885CED">
      <w:pPr>
        <w:autoSpaceDE w:val="0"/>
        <w:autoSpaceDN w:val="0"/>
        <w:adjustRightInd w:val="0"/>
        <w:spacing w:after="0" w:line="276" w:lineRule="auto"/>
        <w:jc w:val="both"/>
        <w:rPr>
          <w:rFonts w:ascii="Cambria" w:eastAsia="SimSun" w:hAnsi="Cambria" w:cs="Times New Roman"/>
          <w:lang w:val="en-ID"/>
        </w:rPr>
      </w:pPr>
      <w:r w:rsidRPr="00913159">
        <w:rPr>
          <w:rFonts w:ascii="Cambria" w:eastAsia="SimSun" w:hAnsi="Cambria" w:cs="Times New Roman"/>
          <w:lang w:val="en-ID"/>
        </w:rPr>
        <w:t>From this equation it can be explained that:</w:t>
      </w:r>
    </w:p>
    <w:p w14:paraId="358E7253" w14:textId="77777777" w:rsidR="00A26BEC" w:rsidRPr="00913159" w:rsidRDefault="00A26BEC" w:rsidP="00885CED">
      <w:pPr>
        <w:numPr>
          <w:ilvl w:val="2"/>
          <w:numId w:val="10"/>
        </w:numPr>
        <w:autoSpaceDE w:val="0"/>
        <w:autoSpaceDN w:val="0"/>
        <w:adjustRightInd w:val="0"/>
        <w:spacing w:after="0" w:line="276" w:lineRule="auto"/>
        <w:ind w:left="284" w:hanging="270"/>
        <w:contextualSpacing/>
        <w:jc w:val="both"/>
        <w:rPr>
          <w:rFonts w:ascii="Cambria" w:eastAsia="SimSun" w:hAnsi="Cambria" w:cs="Times New Roman"/>
        </w:rPr>
      </w:pPr>
      <w:r w:rsidRPr="00913159">
        <w:rPr>
          <w:rFonts w:ascii="Cambria" w:eastAsia="SimSun" w:hAnsi="Cambria" w:cs="Times New Roman"/>
        </w:rPr>
        <w:t>Constant (a)</w:t>
      </w:r>
    </w:p>
    <w:p w14:paraId="34C49C77"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rPr>
      </w:pPr>
      <w:r w:rsidRPr="00913159">
        <w:rPr>
          <w:rFonts w:ascii="Cambria" w:eastAsia="SimSun" w:hAnsi="Cambria" w:cs="Times New Roman"/>
        </w:rPr>
        <w:t xml:space="preserve">The constant value of 6.964 indicates that the variables of Service Response Time, Officer Competence, Health Facilities and Complaint Handling if the value is 0 then </w:t>
      </w:r>
      <w:r w:rsidRPr="00913159">
        <w:rPr>
          <w:rFonts w:ascii="Cambria" w:eastAsia="SimSun" w:hAnsi="Cambria" w:cs="Times New Roman"/>
        </w:rPr>
        <w:lastRenderedPageBreak/>
        <w:t xml:space="preserve">Patient Loyalty at the Tawangsari Community Health Center, </w:t>
      </w:r>
      <w:proofErr w:type="spellStart"/>
      <w:r w:rsidRPr="00913159">
        <w:rPr>
          <w:rFonts w:ascii="Cambria" w:eastAsia="SimSun" w:hAnsi="Cambria" w:cs="Times New Roman"/>
        </w:rPr>
        <w:t>Sukoharjo</w:t>
      </w:r>
      <w:proofErr w:type="spellEnd"/>
      <w:r w:rsidRPr="00913159">
        <w:rPr>
          <w:rFonts w:ascii="Cambria" w:eastAsia="SimSun" w:hAnsi="Cambria" w:cs="Times New Roman"/>
        </w:rPr>
        <w:t xml:space="preserve"> Regency has a Patient Loyalty level of 6.964.</w:t>
      </w:r>
    </w:p>
    <w:p w14:paraId="75B3518D" w14:textId="77777777" w:rsidR="00A26BEC" w:rsidRPr="00913159" w:rsidRDefault="00A26BEC" w:rsidP="00885CED">
      <w:pPr>
        <w:autoSpaceDE w:val="0"/>
        <w:autoSpaceDN w:val="0"/>
        <w:adjustRightInd w:val="0"/>
        <w:spacing w:after="0" w:line="276" w:lineRule="auto"/>
        <w:ind w:left="284" w:hanging="346"/>
        <w:contextualSpacing/>
        <w:jc w:val="both"/>
        <w:rPr>
          <w:rFonts w:ascii="Cambria" w:eastAsia="SimSun" w:hAnsi="Cambria" w:cs="Times New Roman"/>
        </w:rPr>
      </w:pPr>
      <w:r w:rsidRPr="00913159">
        <w:rPr>
          <w:rFonts w:ascii="Cambria" w:eastAsia="SimSun" w:hAnsi="Cambria" w:cs="Times New Roman"/>
        </w:rPr>
        <w:t>b.</w:t>
      </w:r>
      <w:r w:rsidRPr="00913159">
        <w:rPr>
          <w:rFonts w:ascii="Cambria" w:eastAsia="SimSun" w:hAnsi="Cambria" w:cs="Times New Roman"/>
        </w:rPr>
        <w:tab/>
        <w:t>Service Response Time Coefficient (b1)</w:t>
      </w:r>
    </w:p>
    <w:p w14:paraId="7B4C83A2"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lang w:val="en-ID"/>
        </w:rPr>
      </w:pPr>
      <w:r w:rsidRPr="00913159">
        <w:rPr>
          <w:rFonts w:ascii="Cambria" w:eastAsia="SimSun" w:hAnsi="Cambria" w:cs="Times New Roman"/>
        </w:rPr>
        <w:t xml:space="preserve">The Service Response Time coefficient (β1) is 0.318, with a positive value. This means that for every one-fold increase in Service Response Time, Patient Loyalty at the Tawangsari Community Health Center in </w:t>
      </w:r>
      <w:proofErr w:type="spellStart"/>
      <w:r w:rsidRPr="00913159">
        <w:rPr>
          <w:rFonts w:ascii="Cambria" w:eastAsia="SimSun" w:hAnsi="Cambria" w:cs="Times New Roman"/>
        </w:rPr>
        <w:t>Sukoharjo</w:t>
      </w:r>
      <w:proofErr w:type="spellEnd"/>
      <w:r w:rsidRPr="00913159">
        <w:rPr>
          <w:rFonts w:ascii="Cambria" w:eastAsia="SimSun" w:hAnsi="Cambria" w:cs="Times New Roman"/>
        </w:rPr>
        <w:t xml:space="preserve"> Regency will increase by 0.318, assuming other variables remain constant.</w:t>
      </w:r>
    </w:p>
    <w:p w14:paraId="4162CFF8" w14:textId="77777777" w:rsidR="00A26BEC" w:rsidRPr="00913159" w:rsidRDefault="00E76B78" w:rsidP="00885CED">
      <w:pPr>
        <w:autoSpaceDE w:val="0"/>
        <w:autoSpaceDN w:val="0"/>
        <w:adjustRightInd w:val="0"/>
        <w:spacing w:after="0" w:line="276" w:lineRule="auto"/>
        <w:contextualSpacing/>
        <w:jc w:val="both"/>
        <w:rPr>
          <w:rFonts w:ascii="Cambria" w:eastAsia="SimSun" w:hAnsi="Cambria" w:cs="Times New Roman"/>
          <w:lang w:val="en-ID"/>
        </w:rPr>
      </w:pPr>
      <w:r w:rsidRPr="00913159">
        <w:rPr>
          <w:rFonts w:ascii="Cambria" w:eastAsia="SimSun" w:hAnsi="Cambria" w:cs="Times New Roman"/>
          <w:lang w:val="en-ID"/>
        </w:rPr>
        <w:t>c. Officer Competency Coefficient (b2)</w:t>
      </w:r>
    </w:p>
    <w:p w14:paraId="06D12926" w14:textId="77777777" w:rsidR="00A26BEC" w:rsidRPr="00913159" w:rsidRDefault="00A26BEC" w:rsidP="00885CED">
      <w:pPr>
        <w:pStyle w:val="ListParagraph"/>
        <w:spacing w:after="0"/>
        <w:ind w:left="284"/>
        <w:jc w:val="both"/>
        <w:outlineLvl w:val="1"/>
        <w:rPr>
          <w:rFonts w:ascii="Cambria" w:hAnsi="Cambria" w:cs="Times New Roman"/>
          <w:lang w:val="en-ID"/>
        </w:rPr>
      </w:pPr>
      <w:r w:rsidRPr="00913159">
        <w:rPr>
          <w:rFonts w:ascii="Cambria" w:eastAsia="SimSun" w:hAnsi="Cambria" w:cs="Times New Roman"/>
          <w:lang w:val="en-ID"/>
        </w:rPr>
        <w:t>The coefficient value of Officer Competence or Officer Competence variable (</w:t>
      </w:r>
      <w:r w:rsidRPr="00913159">
        <w:rPr>
          <w:rFonts w:ascii="Cambria" w:eastAsia="SimSun" w:hAnsi="Cambria" w:cs="Times New Roman"/>
          <w:lang w:val="sv-SE"/>
        </w:rPr>
        <w:t>β</w:t>
      </w:r>
      <w:r w:rsidRPr="00913159">
        <w:rPr>
          <w:rFonts w:ascii="Cambria" w:eastAsia="SimSun" w:hAnsi="Cambria" w:cs="Times New Roman"/>
          <w:lang w:val="en-ID"/>
        </w:rPr>
        <w:t>2) is 0.109 with a positive value. This means that every increase</w:t>
      </w:r>
    </w:p>
    <w:p w14:paraId="2124584B"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lang w:val="en-ID"/>
        </w:rPr>
      </w:pPr>
      <w:r w:rsidRPr="00913159">
        <w:rPr>
          <w:rFonts w:ascii="Cambria" w:eastAsia="SimSun" w:hAnsi="Cambria" w:cs="Times New Roman"/>
          <w:lang w:val="en-ID"/>
        </w:rPr>
        <w:t xml:space="preserve">Officer Competence of 1 time then Patient Loyalty at </w:t>
      </w:r>
      <w:proofErr w:type="spellStart"/>
      <w:r w:rsidRPr="00913159">
        <w:rPr>
          <w:rFonts w:ascii="Cambria" w:eastAsia="SimSun" w:hAnsi="Cambria" w:cs="Times New Roman"/>
          <w:lang w:val="en-ID"/>
        </w:rPr>
        <w:t>Tawangsari</w:t>
      </w:r>
      <w:proofErr w:type="spellEnd"/>
      <w:r w:rsidRPr="00913159">
        <w:rPr>
          <w:rFonts w:ascii="Cambria" w:eastAsia="SimSun" w:hAnsi="Cambria" w:cs="Times New Roman"/>
          <w:lang w:val="en-ID"/>
        </w:rPr>
        <w:t xml:space="preserve"> Community Health </w:t>
      </w:r>
      <w:proofErr w:type="spellStart"/>
      <w:r w:rsidRPr="00913159">
        <w:rPr>
          <w:rFonts w:ascii="Cambria" w:eastAsia="SimSun" w:hAnsi="Cambria" w:cs="Times New Roman"/>
          <w:lang w:val="en-ID"/>
        </w:rPr>
        <w:t>Center</w:t>
      </w:r>
      <w:proofErr w:type="spellEnd"/>
      <w:r w:rsidRPr="00913159">
        <w:rPr>
          <w:rFonts w:ascii="Cambria" w:eastAsia="SimSun" w:hAnsi="Cambria" w:cs="Times New Roman"/>
          <w:lang w:val="en-ID"/>
        </w:rPr>
        <w:t xml:space="preserve">, </w:t>
      </w:r>
      <w:proofErr w:type="spellStart"/>
      <w:r w:rsidRPr="00913159">
        <w:rPr>
          <w:rFonts w:ascii="Cambria" w:eastAsia="SimSun" w:hAnsi="Cambria" w:cs="Times New Roman"/>
          <w:lang w:val="en-ID"/>
        </w:rPr>
        <w:t>Sukoharjo</w:t>
      </w:r>
      <w:proofErr w:type="spellEnd"/>
      <w:r w:rsidRPr="00913159">
        <w:rPr>
          <w:rFonts w:ascii="Cambria" w:eastAsia="SimSun" w:hAnsi="Cambria" w:cs="Times New Roman"/>
          <w:lang w:val="en-ID"/>
        </w:rPr>
        <w:t xml:space="preserve"> Regency will increase by 0.109 assuming other variables are constant.</w:t>
      </w:r>
    </w:p>
    <w:p w14:paraId="0A5C05A6" w14:textId="77777777" w:rsidR="00A26BEC" w:rsidRPr="00913159" w:rsidRDefault="00E76B78" w:rsidP="00885CED">
      <w:pPr>
        <w:autoSpaceDE w:val="0"/>
        <w:autoSpaceDN w:val="0"/>
        <w:adjustRightInd w:val="0"/>
        <w:spacing w:after="0" w:line="276" w:lineRule="auto"/>
        <w:contextualSpacing/>
        <w:jc w:val="both"/>
        <w:rPr>
          <w:rFonts w:ascii="Cambria" w:eastAsia="SimSun" w:hAnsi="Cambria" w:cs="Times New Roman"/>
          <w:lang w:val="en-ID"/>
        </w:rPr>
      </w:pPr>
      <w:r w:rsidRPr="00913159">
        <w:rPr>
          <w:rFonts w:ascii="Cambria" w:eastAsia="SimSun" w:hAnsi="Cambria" w:cs="Times New Roman"/>
          <w:lang w:val="en-ID"/>
        </w:rPr>
        <w:t>d. Health Facility Coefficient (b3)</w:t>
      </w:r>
    </w:p>
    <w:p w14:paraId="075160F6"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lang w:val="en-ID"/>
        </w:rPr>
      </w:pPr>
      <w:r w:rsidRPr="00913159">
        <w:rPr>
          <w:rFonts w:ascii="Cambria" w:eastAsia="SimSun" w:hAnsi="Cambria" w:cs="Times New Roman"/>
          <w:lang w:val="en-ID"/>
        </w:rPr>
        <w:t>The Health Facilities variable (</w:t>
      </w:r>
      <w:r w:rsidRPr="00913159">
        <w:rPr>
          <w:rFonts w:ascii="Cambria" w:eastAsia="SimSun" w:hAnsi="Cambria" w:cs="Times New Roman"/>
          <w:lang w:val="sv-SE"/>
        </w:rPr>
        <w:t>β</w:t>
      </w:r>
      <w:r w:rsidRPr="00913159">
        <w:rPr>
          <w:rFonts w:ascii="Cambria" w:eastAsia="SimSun" w:hAnsi="Cambria" w:cs="Times New Roman"/>
          <w:lang w:val="en-ID"/>
        </w:rPr>
        <w:t xml:space="preserve">3) is 0.192, with a positive value. This means that for every one-fold increase in Health Facilities, Patient Loyalty at the </w:t>
      </w:r>
      <w:proofErr w:type="spellStart"/>
      <w:r w:rsidRPr="00913159">
        <w:rPr>
          <w:rFonts w:ascii="Cambria" w:eastAsia="SimSun" w:hAnsi="Cambria" w:cs="Times New Roman"/>
          <w:lang w:val="en-ID"/>
        </w:rPr>
        <w:t>Tawangsari</w:t>
      </w:r>
      <w:proofErr w:type="spellEnd"/>
      <w:r w:rsidRPr="00913159">
        <w:rPr>
          <w:rFonts w:ascii="Cambria" w:eastAsia="SimSun" w:hAnsi="Cambria" w:cs="Times New Roman"/>
          <w:lang w:val="en-ID"/>
        </w:rPr>
        <w:t xml:space="preserve"> Community Health </w:t>
      </w:r>
      <w:proofErr w:type="spellStart"/>
      <w:r w:rsidRPr="00913159">
        <w:rPr>
          <w:rFonts w:ascii="Cambria" w:eastAsia="SimSun" w:hAnsi="Cambria" w:cs="Times New Roman"/>
          <w:lang w:val="en-ID"/>
        </w:rPr>
        <w:t>Center</w:t>
      </w:r>
      <w:proofErr w:type="spellEnd"/>
      <w:r w:rsidRPr="00913159">
        <w:rPr>
          <w:rFonts w:ascii="Cambria" w:eastAsia="SimSun" w:hAnsi="Cambria" w:cs="Times New Roman"/>
          <w:lang w:val="en-ID"/>
        </w:rPr>
        <w:t xml:space="preserve"> in </w:t>
      </w:r>
      <w:proofErr w:type="spellStart"/>
      <w:r w:rsidRPr="00913159">
        <w:rPr>
          <w:rFonts w:ascii="Cambria" w:eastAsia="SimSun" w:hAnsi="Cambria" w:cs="Times New Roman"/>
          <w:lang w:val="en-ID"/>
        </w:rPr>
        <w:t>Sukoharjo</w:t>
      </w:r>
      <w:proofErr w:type="spellEnd"/>
      <w:r w:rsidRPr="00913159">
        <w:rPr>
          <w:rFonts w:ascii="Cambria" w:eastAsia="SimSun" w:hAnsi="Cambria" w:cs="Times New Roman"/>
          <w:lang w:val="en-ID"/>
        </w:rPr>
        <w:t xml:space="preserve"> Regency will increase by 0.192, assuming other variables remain constant.</w:t>
      </w:r>
    </w:p>
    <w:p w14:paraId="580184EC" w14:textId="77777777" w:rsidR="00A26BEC" w:rsidRPr="00913159" w:rsidRDefault="00A26BEC" w:rsidP="00885CED">
      <w:pPr>
        <w:numPr>
          <w:ilvl w:val="2"/>
          <w:numId w:val="10"/>
        </w:numPr>
        <w:autoSpaceDE w:val="0"/>
        <w:autoSpaceDN w:val="0"/>
        <w:adjustRightInd w:val="0"/>
        <w:spacing w:after="0" w:line="276" w:lineRule="auto"/>
        <w:ind w:left="284" w:hanging="283"/>
        <w:contextualSpacing/>
        <w:jc w:val="both"/>
        <w:rPr>
          <w:rFonts w:ascii="Cambria" w:eastAsia="SimSun" w:hAnsi="Cambria" w:cs="Times New Roman"/>
        </w:rPr>
      </w:pPr>
      <w:r w:rsidRPr="00913159">
        <w:rPr>
          <w:rFonts w:ascii="Cambria" w:eastAsia="SimSun" w:hAnsi="Cambria" w:cs="Times New Roman"/>
        </w:rPr>
        <w:t>Complaint Handling Coefficient (b4)</w:t>
      </w:r>
    </w:p>
    <w:p w14:paraId="4D553D7B"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lang w:val="en-ID"/>
        </w:rPr>
      </w:pPr>
      <w:r w:rsidRPr="00913159">
        <w:rPr>
          <w:rFonts w:ascii="Cambria" w:eastAsia="SimSun" w:hAnsi="Cambria" w:cs="Times New Roman"/>
          <w:lang w:val="en-ID"/>
        </w:rPr>
        <w:t>The Complaint Handling Value or Complaint Handling variable (</w:t>
      </w:r>
      <w:r w:rsidRPr="00913159">
        <w:rPr>
          <w:rFonts w:ascii="Cambria" w:eastAsia="SimSun" w:hAnsi="Cambria" w:cs="Times New Roman"/>
          <w:lang w:val="sv-SE"/>
        </w:rPr>
        <w:t>β</w:t>
      </w:r>
      <w:r w:rsidRPr="00913159">
        <w:rPr>
          <w:rFonts w:ascii="Cambria" w:eastAsia="SimSun" w:hAnsi="Cambria" w:cs="Times New Roman"/>
          <w:lang w:val="en-ID"/>
        </w:rPr>
        <w:t xml:space="preserve">3) is 0.166 with a positive value. This means that for every 1-fold increase in Complaint Handling, Patient Loyalty at the </w:t>
      </w:r>
      <w:proofErr w:type="spellStart"/>
      <w:r w:rsidRPr="00913159">
        <w:rPr>
          <w:rFonts w:ascii="Cambria" w:eastAsia="SimSun" w:hAnsi="Cambria" w:cs="Times New Roman"/>
          <w:lang w:val="en-ID"/>
        </w:rPr>
        <w:t>Tawangsari</w:t>
      </w:r>
      <w:proofErr w:type="spellEnd"/>
      <w:r w:rsidRPr="00913159">
        <w:rPr>
          <w:rFonts w:ascii="Cambria" w:eastAsia="SimSun" w:hAnsi="Cambria" w:cs="Times New Roman"/>
          <w:lang w:val="en-ID"/>
        </w:rPr>
        <w:t xml:space="preserve"> Community Health </w:t>
      </w:r>
      <w:proofErr w:type="spellStart"/>
      <w:r w:rsidRPr="00913159">
        <w:rPr>
          <w:rFonts w:ascii="Cambria" w:eastAsia="SimSun" w:hAnsi="Cambria" w:cs="Times New Roman"/>
          <w:lang w:val="en-ID"/>
        </w:rPr>
        <w:t>Center</w:t>
      </w:r>
      <w:proofErr w:type="spellEnd"/>
      <w:r w:rsidRPr="00913159">
        <w:rPr>
          <w:rFonts w:ascii="Cambria" w:eastAsia="SimSun" w:hAnsi="Cambria" w:cs="Times New Roman"/>
          <w:lang w:val="en-ID"/>
        </w:rPr>
        <w:t xml:space="preserve"> in </w:t>
      </w:r>
      <w:proofErr w:type="spellStart"/>
      <w:r w:rsidRPr="00913159">
        <w:rPr>
          <w:rFonts w:ascii="Cambria" w:eastAsia="SimSun" w:hAnsi="Cambria" w:cs="Times New Roman"/>
          <w:lang w:val="en-ID"/>
        </w:rPr>
        <w:t>Sukoharjo</w:t>
      </w:r>
      <w:proofErr w:type="spellEnd"/>
      <w:r w:rsidRPr="00913159">
        <w:rPr>
          <w:rFonts w:ascii="Cambria" w:eastAsia="SimSun" w:hAnsi="Cambria" w:cs="Times New Roman"/>
          <w:lang w:val="en-ID"/>
        </w:rPr>
        <w:t xml:space="preserve"> Regency will increase by 0.166, assuming other variables remain constant.</w:t>
      </w:r>
    </w:p>
    <w:p w14:paraId="370B8D64" w14:textId="77777777" w:rsidR="00885CED" w:rsidRDefault="00885CED" w:rsidP="00885CED">
      <w:pPr>
        <w:autoSpaceDE w:val="0"/>
        <w:autoSpaceDN w:val="0"/>
        <w:adjustRightInd w:val="0"/>
        <w:spacing w:after="0" w:line="276" w:lineRule="auto"/>
        <w:contextualSpacing/>
        <w:jc w:val="both"/>
        <w:rPr>
          <w:rFonts w:ascii="Cambria" w:eastAsia="SimSun" w:hAnsi="Cambria" w:cs="Times New Roman"/>
          <w:b/>
          <w:bCs/>
        </w:rPr>
      </w:pPr>
    </w:p>
    <w:p w14:paraId="5A24792A" w14:textId="0A8BFA3C" w:rsidR="00A26BEC" w:rsidRPr="00913159" w:rsidRDefault="00A26BEC" w:rsidP="00885CED">
      <w:pPr>
        <w:autoSpaceDE w:val="0"/>
        <w:autoSpaceDN w:val="0"/>
        <w:adjustRightInd w:val="0"/>
        <w:spacing w:after="0" w:line="276" w:lineRule="auto"/>
        <w:contextualSpacing/>
        <w:jc w:val="both"/>
        <w:rPr>
          <w:rFonts w:ascii="Cambria" w:eastAsia="SimSun" w:hAnsi="Cambria" w:cs="Times New Roman"/>
          <w:b/>
          <w:bCs/>
        </w:rPr>
      </w:pPr>
      <w:r w:rsidRPr="00913159">
        <w:rPr>
          <w:rFonts w:ascii="Cambria" w:eastAsia="SimSun" w:hAnsi="Cambria" w:cs="Times New Roman"/>
          <w:b/>
          <w:bCs/>
        </w:rPr>
        <w:t>Model Feasibility Test</w:t>
      </w:r>
    </w:p>
    <w:p w14:paraId="44492629" w14:textId="77777777" w:rsidR="00A26BEC" w:rsidRPr="00913159" w:rsidRDefault="00A26BEC" w:rsidP="00885CED">
      <w:pPr>
        <w:autoSpaceDE w:val="0"/>
        <w:autoSpaceDN w:val="0"/>
        <w:adjustRightInd w:val="0"/>
        <w:spacing w:after="0" w:line="276" w:lineRule="auto"/>
        <w:jc w:val="center"/>
        <w:rPr>
          <w:rFonts w:ascii="Cambria" w:eastAsia="SimSun" w:hAnsi="Cambria" w:cs="Times New Roman"/>
          <w:b/>
          <w:bCs/>
          <w:lang w:val="en-ID"/>
        </w:rPr>
      </w:pPr>
      <w:r w:rsidRPr="00913159">
        <w:rPr>
          <w:rFonts w:ascii="Cambria" w:eastAsia="SimSun" w:hAnsi="Cambria" w:cs="Times New Roman"/>
          <w:b/>
          <w:bCs/>
          <w:lang w:val="en-ID"/>
        </w:rPr>
        <w:t>Table 2 Model Testing Results</w:t>
      </w:r>
    </w:p>
    <w:tbl>
      <w:tblPr>
        <w:tblStyle w:val="TableGrid4"/>
        <w:tblW w:w="7560" w:type="dxa"/>
        <w:tblInd w:w="4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996"/>
        <w:gridCol w:w="924"/>
        <w:gridCol w:w="884"/>
        <w:gridCol w:w="1760"/>
        <w:gridCol w:w="1593"/>
      </w:tblGrid>
      <w:tr w:rsidR="00913159" w:rsidRPr="00913159" w14:paraId="4558C914" w14:textId="77777777" w:rsidTr="003D1CFC">
        <w:tc>
          <w:tcPr>
            <w:tcW w:w="1403" w:type="dxa"/>
            <w:tcBorders>
              <w:top w:val="single" w:sz="4" w:space="0" w:color="auto"/>
              <w:left w:val="nil"/>
              <w:bottom w:val="single" w:sz="4" w:space="0" w:color="auto"/>
              <w:right w:val="nil"/>
            </w:tcBorders>
            <w:vAlign w:val="center"/>
          </w:tcPr>
          <w:p w14:paraId="4549CDEF" w14:textId="77777777" w:rsidR="003D1CFC" w:rsidRPr="00913159" w:rsidRDefault="003D1CFC" w:rsidP="00885CED">
            <w:pPr>
              <w:adjustRightInd w:val="0"/>
              <w:spacing w:line="276" w:lineRule="auto"/>
              <w:jc w:val="center"/>
              <w:rPr>
                <w:rFonts w:ascii="Cambria" w:eastAsia="SimSun" w:hAnsi="Cambria" w:cs="Times New Roman"/>
                <w:sz w:val="22"/>
                <w:szCs w:val="22"/>
              </w:rPr>
            </w:pPr>
            <w:r w:rsidRPr="00913159">
              <w:rPr>
                <w:rFonts w:ascii="Cambria" w:eastAsia="SimSun" w:hAnsi="Cambria" w:cs="Times New Roman"/>
                <w:sz w:val="22"/>
                <w:szCs w:val="22"/>
              </w:rPr>
              <w:t>Model</w:t>
            </w:r>
          </w:p>
        </w:tc>
        <w:tc>
          <w:tcPr>
            <w:tcW w:w="996" w:type="dxa"/>
            <w:tcBorders>
              <w:top w:val="single" w:sz="4" w:space="0" w:color="auto"/>
              <w:left w:val="nil"/>
              <w:bottom w:val="single" w:sz="4" w:space="0" w:color="auto"/>
              <w:right w:val="nil"/>
            </w:tcBorders>
            <w:vAlign w:val="center"/>
          </w:tcPr>
          <w:p w14:paraId="3B6E17E6" w14:textId="77777777" w:rsidR="003D1CFC" w:rsidRPr="00913159" w:rsidRDefault="003D1CF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F count</w:t>
            </w:r>
          </w:p>
        </w:tc>
        <w:tc>
          <w:tcPr>
            <w:tcW w:w="885" w:type="dxa"/>
            <w:tcBorders>
              <w:top w:val="single" w:sz="4" w:space="0" w:color="auto"/>
              <w:left w:val="nil"/>
              <w:bottom w:val="single" w:sz="4" w:space="0" w:color="auto"/>
              <w:right w:val="nil"/>
            </w:tcBorders>
            <w:vAlign w:val="center"/>
          </w:tcPr>
          <w:p w14:paraId="0997B6BD" w14:textId="77777777" w:rsidR="003D1CFC" w:rsidRPr="00913159" w:rsidRDefault="003D1CF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Ftable</w:t>
            </w:r>
          </w:p>
        </w:tc>
        <w:tc>
          <w:tcPr>
            <w:tcW w:w="885" w:type="dxa"/>
            <w:tcBorders>
              <w:top w:val="single" w:sz="4" w:space="0" w:color="auto"/>
              <w:left w:val="nil"/>
              <w:bottom w:val="single" w:sz="4" w:space="0" w:color="auto"/>
              <w:right w:val="nil"/>
            </w:tcBorders>
            <w:vAlign w:val="center"/>
          </w:tcPr>
          <w:p w14:paraId="1C4A1E85" w14:textId="77777777" w:rsidR="003D1CFC" w:rsidRPr="00913159" w:rsidRDefault="003D1CF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Sig.</w:t>
            </w:r>
          </w:p>
        </w:tc>
        <w:tc>
          <w:tcPr>
            <w:tcW w:w="1788" w:type="dxa"/>
            <w:tcBorders>
              <w:top w:val="single" w:sz="4" w:space="0" w:color="auto"/>
              <w:left w:val="nil"/>
              <w:bottom w:val="single" w:sz="4" w:space="0" w:color="auto"/>
              <w:right w:val="nil"/>
            </w:tcBorders>
            <w:vAlign w:val="center"/>
          </w:tcPr>
          <w:p w14:paraId="62818E16" w14:textId="77777777" w:rsidR="003D1CFC" w:rsidRPr="00913159" w:rsidRDefault="003D1CFC" w:rsidP="00885CED">
            <w:pPr>
              <w:adjustRightInd w:val="0"/>
              <w:spacing w:line="276" w:lineRule="auto"/>
              <w:jc w:val="center"/>
              <w:rPr>
                <w:rFonts w:ascii="Cambria" w:eastAsia="SimSun" w:hAnsi="Cambria" w:cs="Times New Roman"/>
                <w:sz w:val="22"/>
                <w:szCs w:val="22"/>
              </w:rPr>
            </w:pPr>
            <w:r w:rsidRPr="00913159">
              <w:rPr>
                <w:rFonts w:ascii="Cambria" w:eastAsia="SimSun" w:hAnsi="Cambria" w:cs="Times New Roman"/>
                <w:sz w:val="22"/>
                <w:szCs w:val="22"/>
              </w:rPr>
              <w:t>Standard</w:t>
            </w:r>
          </w:p>
        </w:tc>
        <w:tc>
          <w:tcPr>
            <w:tcW w:w="1603" w:type="dxa"/>
            <w:tcBorders>
              <w:top w:val="single" w:sz="4" w:space="0" w:color="auto"/>
              <w:left w:val="nil"/>
              <w:bottom w:val="single" w:sz="4" w:space="0" w:color="auto"/>
              <w:right w:val="nil"/>
            </w:tcBorders>
            <w:vAlign w:val="center"/>
          </w:tcPr>
          <w:p w14:paraId="1F34BD8F" w14:textId="77777777" w:rsidR="003D1CFC" w:rsidRPr="00913159" w:rsidRDefault="003D1CFC" w:rsidP="00885CED">
            <w:pPr>
              <w:adjustRightInd w:val="0"/>
              <w:spacing w:line="276" w:lineRule="auto"/>
              <w:jc w:val="center"/>
              <w:rPr>
                <w:rFonts w:ascii="Cambria" w:eastAsia="SimSun" w:hAnsi="Cambria" w:cs="Times New Roman"/>
                <w:sz w:val="22"/>
                <w:szCs w:val="22"/>
              </w:rPr>
            </w:pPr>
            <w:r w:rsidRPr="00913159">
              <w:rPr>
                <w:rFonts w:ascii="Cambria" w:eastAsia="SimSun" w:hAnsi="Cambria" w:cs="Times New Roman"/>
                <w:sz w:val="22"/>
                <w:szCs w:val="22"/>
              </w:rPr>
              <w:t>Information</w:t>
            </w:r>
          </w:p>
        </w:tc>
      </w:tr>
      <w:tr w:rsidR="00913159" w:rsidRPr="00913159" w14:paraId="5BB71A19" w14:textId="77777777" w:rsidTr="003D1CFC">
        <w:tc>
          <w:tcPr>
            <w:tcW w:w="1403" w:type="dxa"/>
            <w:tcBorders>
              <w:top w:val="single" w:sz="4" w:space="0" w:color="auto"/>
              <w:left w:val="nil"/>
              <w:bottom w:val="single" w:sz="4" w:space="0" w:color="auto"/>
              <w:right w:val="nil"/>
            </w:tcBorders>
            <w:vAlign w:val="center"/>
          </w:tcPr>
          <w:p w14:paraId="7A26CB98" w14:textId="77777777" w:rsidR="003D1CFC" w:rsidRPr="00913159" w:rsidRDefault="003D1CF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Regression</w:t>
            </w:r>
          </w:p>
        </w:tc>
        <w:tc>
          <w:tcPr>
            <w:tcW w:w="996" w:type="dxa"/>
            <w:tcBorders>
              <w:top w:val="single" w:sz="4" w:space="0" w:color="auto"/>
              <w:left w:val="nil"/>
              <w:bottom w:val="single" w:sz="4" w:space="0" w:color="auto"/>
              <w:right w:val="nil"/>
            </w:tcBorders>
            <w:vAlign w:val="center"/>
          </w:tcPr>
          <w:p w14:paraId="3D5D836D" w14:textId="77777777" w:rsidR="003D1CFC" w:rsidRPr="00913159" w:rsidRDefault="003D1CF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30,192</w:t>
            </w:r>
          </w:p>
        </w:tc>
        <w:tc>
          <w:tcPr>
            <w:tcW w:w="885" w:type="dxa"/>
            <w:tcBorders>
              <w:top w:val="single" w:sz="4" w:space="0" w:color="auto"/>
              <w:left w:val="nil"/>
              <w:bottom w:val="single" w:sz="4" w:space="0" w:color="auto"/>
              <w:right w:val="nil"/>
            </w:tcBorders>
            <w:vAlign w:val="center"/>
          </w:tcPr>
          <w:p w14:paraId="4787B427" w14:textId="77777777" w:rsidR="003D1CFC" w:rsidRPr="00913159" w:rsidRDefault="003D1CF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2.29</w:t>
            </w:r>
          </w:p>
        </w:tc>
        <w:tc>
          <w:tcPr>
            <w:tcW w:w="885" w:type="dxa"/>
            <w:tcBorders>
              <w:top w:val="single" w:sz="4" w:space="0" w:color="auto"/>
              <w:left w:val="nil"/>
              <w:bottom w:val="single" w:sz="4" w:space="0" w:color="auto"/>
              <w:right w:val="nil"/>
            </w:tcBorders>
            <w:vAlign w:val="center"/>
          </w:tcPr>
          <w:p w14:paraId="3C1727EA" w14:textId="77777777" w:rsidR="003D1CFC" w:rsidRPr="00913159" w:rsidRDefault="003D1CF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0,000</w:t>
            </w:r>
          </w:p>
        </w:tc>
        <w:tc>
          <w:tcPr>
            <w:tcW w:w="1788" w:type="dxa"/>
            <w:tcBorders>
              <w:top w:val="single" w:sz="4" w:space="0" w:color="auto"/>
              <w:left w:val="nil"/>
              <w:bottom w:val="single" w:sz="4" w:space="0" w:color="auto"/>
              <w:right w:val="nil"/>
            </w:tcBorders>
            <w:vAlign w:val="center"/>
          </w:tcPr>
          <w:p w14:paraId="5F631D7D" w14:textId="77777777" w:rsidR="003D1CFC" w:rsidRPr="00913159" w:rsidRDefault="003D1CFC" w:rsidP="00885CED">
            <w:pPr>
              <w:adjustRightInd w:val="0"/>
              <w:spacing w:line="276" w:lineRule="auto"/>
              <w:jc w:val="center"/>
              <w:rPr>
                <w:rFonts w:ascii="Cambria" w:eastAsia="SimSun" w:hAnsi="Cambria" w:cs="Times New Roman"/>
                <w:sz w:val="22"/>
                <w:szCs w:val="22"/>
              </w:rPr>
            </w:pPr>
            <w:r w:rsidRPr="00913159">
              <w:rPr>
                <w:rFonts w:ascii="Cambria" w:eastAsia="SimSun" w:hAnsi="Cambria" w:cs="Times New Roman"/>
                <w:sz w:val="22"/>
                <w:szCs w:val="22"/>
              </w:rPr>
              <w:t>0.05</w:t>
            </w:r>
          </w:p>
        </w:tc>
        <w:tc>
          <w:tcPr>
            <w:tcW w:w="1603" w:type="dxa"/>
            <w:tcBorders>
              <w:top w:val="single" w:sz="4" w:space="0" w:color="auto"/>
              <w:left w:val="nil"/>
              <w:bottom w:val="single" w:sz="4" w:space="0" w:color="auto"/>
              <w:right w:val="nil"/>
            </w:tcBorders>
            <w:vAlign w:val="center"/>
          </w:tcPr>
          <w:p w14:paraId="786F2A4F" w14:textId="77777777" w:rsidR="003D1CFC" w:rsidRPr="00913159" w:rsidRDefault="003D1CFC" w:rsidP="00885CED">
            <w:pPr>
              <w:adjustRightInd w:val="0"/>
              <w:spacing w:line="276" w:lineRule="auto"/>
              <w:jc w:val="center"/>
              <w:rPr>
                <w:rFonts w:ascii="Cambria" w:eastAsia="SimSun" w:hAnsi="Cambria" w:cs="Times New Roman"/>
                <w:sz w:val="22"/>
                <w:szCs w:val="22"/>
              </w:rPr>
            </w:pPr>
            <w:r w:rsidRPr="00913159">
              <w:rPr>
                <w:rFonts w:ascii="Cambria" w:eastAsia="SimSun" w:hAnsi="Cambria" w:cs="Times New Roman"/>
                <w:sz w:val="22"/>
                <w:szCs w:val="22"/>
              </w:rPr>
              <w:t>Eligible Model</w:t>
            </w:r>
          </w:p>
        </w:tc>
      </w:tr>
    </w:tbl>
    <w:p w14:paraId="1A712599" w14:textId="77777777" w:rsidR="00E76B78" w:rsidRPr="00913159" w:rsidRDefault="00A26BEC" w:rsidP="00885CED">
      <w:pPr>
        <w:spacing w:after="0" w:line="276" w:lineRule="auto"/>
        <w:ind w:left="990"/>
        <w:contextualSpacing/>
        <w:jc w:val="both"/>
        <w:outlineLvl w:val="1"/>
        <w:rPr>
          <w:rFonts w:ascii="Cambria" w:eastAsia="SimSun" w:hAnsi="Cambria" w:cs="Times New Roman"/>
          <w:lang w:val="sv-SE"/>
        </w:rPr>
      </w:pPr>
      <w:r w:rsidRPr="00913159">
        <w:rPr>
          <w:rFonts w:ascii="Cambria" w:eastAsia="SimSun" w:hAnsi="Cambria" w:cs="Times New Roman"/>
        </w:rPr>
        <w:t>Source: processed data</w:t>
      </w:r>
    </w:p>
    <w:p w14:paraId="01BC235F" w14:textId="77777777" w:rsidR="00A26BEC" w:rsidRPr="00913159" w:rsidRDefault="00A26BEC" w:rsidP="00885CED">
      <w:pPr>
        <w:autoSpaceDE w:val="0"/>
        <w:autoSpaceDN w:val="0"/>
        <w:adjustRightInd w:val="0"/>
        <w:spacing w:after="0" w:line="276" w:lineRule="auto"/>
        <w:ind w:firstLine="360"/>
        <w:rPr>
          <w:rFonts w:ascii="Cambria" w:eastAsia="SimSun" w:hAnsi="Cambria" w:cs="Times New Roman"/>
          <w:lang w:val="sv-SE"/>
        </w:rPr>
      </w:pPr>
    </w:p>
    <w:p w14:paraId="29A59D40" w14:textId="77777777" w:rsidR="00A26BEC" w:rsidRPr="00913159" w:rsidRDefault="00A26BEC" w:rsidP="00885CED">
      <w:pPr>
        <w:autoSpaceDE w:val="0"/>
        <w:autoSpaceDN w:val="0"/>
        <w:adjustRightInd w:val="0"/>
        <w:spacing w:after="0" w:line="276" w:lineRule="auto"/>
        <w:ind w:firstLine="567"/>
        <w:contextualSpacing/>
        <w:jc w:val="both"/>
        <w:rPr>
          <w:rFonts w:ascii="Cambria" w:eastAsia="Times New Roman" w:hAnsi="Cambria" w:cs="Times New Roman"/>
          <w:lang w:val="en-ID"/>
        </w:rPr>
      </w:pPr>
      <w:bookmarkStart w:id="1" w:name="_Hlk228189037"/>
      <w:r w:rsidRPr="00913159">
        <w:rPr>
          <w:rFonts w:ascii="Cambria" w:eastAsia="SimSun" w:hAnsi="Cambria" w:cs="Times New Roman"/>
          <w:lang w:val="en-ID"/>
        </w:rPr>
        <w:t xml:space="preserve">    From the results of the model feasibility test, </w:t>
      </w:r>
      <w:proofErr w:type="spellStart"/>
      <w:r w:rsidRPr="00913159">
        <w:rPr>
          <w:rFonts w:ascii="Cambria" w:eastAsia="SimSun" w:hAnsi="Cambria" w:cs="Times New Roman"/>
          <w:lang w:val="en-ID"/>
        </w:rPr>
        <w:t>Fcount</w:t>
      </w:r>
      <w:proofErr w:type="spellEnd"/>
      <w:r w:rsidRPr="00913159">
        <w:rPr>
          <w:rFonts w:ascii="Cambria" w:eastAsia="SimSun" w:hAnsi="Cambria" w:cs="Times New Roman"/>
          <w:lang w:val="en-ID"/>
        </w:rPr>
        <w:t xml:space="preserve"> &gt; </w:t>
      </w:r>
      <w:proofErr w:type="spellStart"/>
      <w:r w:rsidRPr="00913159">
        <w:rPr>
          <w:rFonts w:ascii="Cambria" w:eastAsia="SimSun" w:hAnsi="Cambria" w:cs="Times New Roman"/>
          <w:lang w:val="en-ID"/>
        </w:rPr>
        <w:t>Ftable</w:t>
      </w:r>
      <w:proofErr w:type="spellEnd"/>
      <w:r w:rsidRPr="00913159">
        <w:rPr>
          <w:rFonts w:ascii="Cambria" w:eastAsia="SimSun" w:hAnsi="Cambria" w:cs="Times New Roman"/>
          <w:lang w:val="en-ID"/>
        </w:rPr>
        <w:t xml:space="preserve"> was obtained at 30.192 &gt; 2.29 with a significance of 0.000, meaning that this analysis is significant with a significance level of less than 0.05, so H0 is rejected and Ha is </w:t>
      </w:r>
      <w:proofErr w:type="spellStart"/>
      <w:r w:rsidRPr="00913159">
        <w:rPr>
          <w:rFonts w:ascii="Cambria" w:eastAsia="SimSun" w:hAnsi="Cambria" w:cs="Times New Roman"/>
          <w:lang w:val="en-ID"/>
        </w:rPr>
        <w:t>accepted.</w:t>
      </w:r>
      <w:r w:rsidRPr="00913159">
        <w:rPr>
          <w:rFonts w:ascii="Cambria" w:eastAsia="Times New Roman" w:hAnsi="Cambria" w:cs="Times New Roman"/>
          <w:lang w:val="en-ID"/>
        </w:rPr>
        <w:t>In</w:t>
      </w:r>
      <w:proofErr w:type="spellEnd"/>
      <w:r w:rsidRPr="00913159">
        <w:rPr>
          <w:rFonts w:ascii="Cambria" w:eastAsia="Times New Roman" w:hAnsi="Cambria" w:cs="Times New Roman"/>
          <w:lang w:val="en-ID"/>
        </w:rPr>
        <w:t xml:space="preserve"> other words, there is an intermediate </w:t>
      </w:r>
      <w:proofErr w:type="spellStart"/>
      <w:r w:rsidRPr="00913159">
        <w:rPr>
          <w:rFonts w:ascii="Cambria" w:eastAsia="Times New Roman" w:hAnsi="Cambria" w:cs="Times New Roman"/>
          <w:lang w:val="en-ID"/>
        </w:rPr>
        <w:t>influence</w:t>
      </w:r>
      <w:r w:rsidRPr="00913159">
        <w:rPr>
          <w:rFonts w:ascii="Cambria" w:eastAsia="SimSun" w:hAnsi="Cambria" w:cs="Times New Roman"/>
          <w:lang w:val="en-ID"/>
        </w:rPr>
        <w:t>Service</w:t>
      </w:r>
      <w:proofErr w:type="spellEnd"/>
      <w:r w:rsidRPr="00913159">
        <w:rPr>
          <w:rFonts w:ascii="Cambria" w:eastAsia="SimSun" w:hAnsi="Cambria" w:cs="Times New Roman"/>
          <w:lang w:val="en-ID"/>
        </w:rPr>
        <w:t xml:space="preserve"> Response Time, Staff Competence, Health Facilities, and Complaint </w:t>
      </w:r>
      <w:proofErr w:type="spellStart"/>
      <w:r w:rsidRPr="00913159">
        <w:rPr>
          <w:rFonts w:ascii="Cambria" w:eastAsia="SimSun" w:hAnsi="Cambria" w:cs="Times New Roman"/>
          <w:lang w:val="en-ID"/>
        </w:rPr>
        <w:t>Handling</w:t>
      </w:r>
      <w:r w:rsidRPr="00913159">
        <w:rPr>
          <w:rFonts w:ascii="Cambria" w:eastAsia="Times New Roman" w:hAnsi="Cambria" w:cs="Times New Roman"/>
          <w:lang w:val="en-ID"/>
        </w:rPr>
        <w:t>simultaneously</w:t>
      </w:r>
      <w:proofErr w:type="spellEnd"/>
      <w:r w:rsidRPr="00913159">
        <w:rPr>
          <w:rFonts w:ascii="Cambria" w:eastAsia="Times New Roman" w:hAnsi="Cambria" w:cs="Times New Roman"/>
          <w:lang w:val="en-ID"/>
        </w:rPr>
        <w:t xml:space="preserve"> and significantly on Patient Loyalty </w:t>
      </w:r>
      <w:proofErr w:type="spellStart"/>
      <w:r w:rsidRPr="00913159">
        <w:rPr>
          <w:rFonts w:ascii="Cambria" w:eastAsia="Times New Roman" w:hAnsi="Cambria" w:cs="Times New Roman"/>
          <w:lang w:val="en-ID"/>
        </w:rPr>
        <w:t>in</w:t>
      </w:r>
      <w:r w:rsidRPr="00913159">
        <w:rPr>
          <w:rFonts w:ascii="Cambria" w:eastAsia="SimSun" w:hAnsi="Cambria" w:cs="Times New Roman"/>
          <w:lang w:val="en-ID"/>
        </w:rPr>
        <w:t>Tawangsari</w:t>
      </w:r>
      <w:proofErr w:type="spellEnd"/>
      <w:r w:rsidRPr="00913159">
        <w:rPr>
          <w:rFonts w:ascii="Cambria" w:eastAsia="SimSun" w:hAnsi="Cambria" w:cs="Times New Roman"/>
          <w:lang w:val="en-ID"/>
        </w:rPr>
        <w:t xml:space="preserve"> Community Health </w:t>
      </w:r>
      <w:proofErr w:type="spellStart"/>
      <w:r w:rsidRPr="00913159">
        <w:rPr>
          <w:rFonts w:ascii="Cambria" w:eastAsia="SimSun" w:hAnsi="Cambria" w:cs="Times New Roman"/>
          <w:lang w:val="en-ID"/>
        </w:rPr>
        <w:t>Center</w:t>
      </w:r>
      <w:proofErr w:type="spellEnd"/>
      <w:r w:rsidRPr="00913159">
        <w:rPr>
          <w:rFonts w:ascii="Cambria" w:eastAsia="SimSun" w:hAnsi="Cambria" w:cs="Times New Roman"/>
          <w:lang w:val="en-ID"/>
        </w:rPr>
        <w:t xml:space="preserve">, </w:t>
      </w:r>
      <w:proofErr w:type="spellStart"/>
      <w:r w:rsidRPr="00913159">
        <w:rPr>
          <w:rFonts w:ascii="Cambria" w:eastAsia="SimSun" w:hAnsi="Cambria" w:cs="Times New Roman"/>
          <w:lang w:val="en-ID"/>
        </w:rPr>
        <w:t>Sukoharjo</w:t>
      </w:r>
      <w:proofErr w:type="spellEnd"/>
      <w:r w:rsidRPr="00913159">
        <w:rPr>
          <w:rFonts w:ascii="Cambria" w:eastAsia="SimSun" w:hAnsi="Cambria" w:cs="Times New Roman"/>
          <w:lang w:val="en-ID"/>
        </w:rPr>
        <w:t xml:space="preserve"> </w:t>
      </w:r>
      <w:proofErr w:type="spellStart"/>
      <w:r w:rsidRPr="00913159">
        <w:rPr>
          <w:rFonts w:ascii="Cambria" w:eastAsia="SimSun" w:hAnsi="Cambria" w:cs="Times New Roman"/>
          <w:lang w:val="en-ID"/>
        </w:rPr>
        <w:t>Regency</w:t>
      </w:r>
      <w:r w:rsidRPr="00913159">
        <w:rPr>
          <w:rFonts w:ascii="Cambria" w:eastAsia="Times New Roman" w:hAnsi="Cambria" w:cs="Times New Roman"/>
          <w:lang w:val="en-ID"/>
        </w:rPr>
        <w:t>and</w:t>
      </w:r>
      <w:proofErr w:type="spellEnd"/>
      <w:r w:rsidRPr="00913159">
        <w:rPr>
          <w:rFonts w:ascii="Cambria" w:eastAsia="Times New Roman" w:hAnsi="Cambria" w:cs="Times New Roman"/>
          <w:lang w:val="en-ID"/>
        </w:rPr>
        <w:t xml:space="preserve"> meets the model feasibility test.</w:t>
      </w:r>
      <w:bookmarkEnd w:id="1"/>
    </w:p>
    <w:p w14:paraId="04252414" w14:textId="77777777" w:rsidR="00885CED" w:rsidRDefault="00885CED" w:rsidP="00885CED">
      <w:pPr>
        <w:autoSpaceDE w:val="0"/>
        <w:autoSpaceDN w:val="0"/>
        <w:adjustRightInd w:val="0"/>
        <w:spacing w:after="0" w:line="276" w:lineRule="auto"/>
        <w:contextualSpacing/>
        <w:jc w:val="both"/>
        <w:rPr>
          <w:rFonts w:ascii="Cambria" w:eastAsia="SimSun" w:hAnsi="Cambria" w:cs="Times New Roman"/>
          <w:b/>
          <w:bCs/>
        </w:rPr>
      </w:pPr>
    </w:p>
    <w:p w14:paraId="518E5A65" w14:textId="513BF4A4" w:rsidR="00A26BEC" w:rsidRPr="00913159" w:rsidRDefault="00A26BEC" w:rsidP="00885CED">
      <w:pPr>
        <w:autoSpaceDE w:val="0"/>
        <w:autoSpaceDN w:val="0"/>
        <w:adjustRightInd w:val="0"/>
        <w:spacing w:after="0" w:line="276" w:lineRule="auto"/>
        <w:contextualSpacing/>
        <w:jc w:val="both"/>
        <w:rPr>
          <w:rFonts w:ascii="Cambria" w:eastAsia="SimSun" w:hAnsi="Cambria" w:cs="Times New Roman"/>
          <w:b/>
          <w:bCs/>
          <w:lang w:val="id-ID"/>
        </w:rPr>
      </w:pPr>
      <w:r w:rsidRPr="00913159">
        <w:rPr>
          <w:rFonts w:ascii="Cambria" w:eastAsia="SimSun" w:hAnsi="Cambria" w:cs="Times New Roman"/>
          <w:b/>
          <w:bCs/>
        </w:rPr>
        <w:t>Hypothesis Testing</w:t>
      </w:r>
    </w:p>
    <w:p w14:paraId="5D2EC3BC" w14:textId="77777777" w:rsidR="00A26BEC" w:rsidRPr="00913159" w:rsidRDefault="00A26BEC" w:rsidP="00885CED">
      <w:pPr>
        <w:pStyle w:val="ListParagraph"/>
        <w:spacing w:after="0"/>
        <w:ind w:left="360"/>
        <w:jc w:val="center"/>
        <w:rPr>
          <w:rFonts w:ascii="Cambria" w:hAnsi="Cambria" w:cs="Times New Roman"/>
          <w:b/>
          <w:bCs/>
        </w:rPr>
      </w:pPr>
      <w:r w:rsidRPr="00913159">
        <w:rPr>
          <w:rFonts w:ascii="Cambria" w:hAnsi="Cambria" w:cs="Times New Roman"/>
          <w:b/>
          <w:bCs/>
        </w:rPr>
        <w:t>Table 3 Hypothesis Testing Results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1166"/>
        <w:gridCol w:w="1223"/>
        <w:gridCol w:w="995"/>
        <w:gridCol w:w="1266"/>
        <w:gridCol w:w="1989"/>
      </w:tblGrid>
      <w:tr w:rsidR="00913159" w:rsidRPr="00913159" w14:paraId="49817395" w14:textId="77777777" w:rsidTr="003D1CFC">
        <w:trPr>
          <w:jc w:val="center"/>
        </w:trPr>
        <w:tc>
          <w:tcPr>
            <w:tcW w:w="815" w:type="pct"/>
            <w:tcBorders>
              <w:top w:val="single" w:sz="4" w:space="0" w:color="auto"/>
              <w:left w:val="nil"/>
              <w:bottom w:val="single" w:sz="4" w:space="0" w:color="auto"/>
              <w:right w:val="nil"/>
            </w:tcBorders>
            <w:vAlign w:val="center"/>
          </w:tcPr>
          <w:p w14:paraId="6617E47A"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Hypothesis</w:t>
            </w:r>
          </w:p>
        </w:tc>
        <w:tc>
          <w:tcPr>
            <w:tcW w:w="735" w:type="pct"/>
            <w:tcBorders>
              <w:top w:val="single" w:sz="4" w:space="0" w:color="auto"/>
              <w:left w:val="nil"/>
              <w:bottom w:val="single" w:sz="4" w:space="0" w:color="auto"/>
              <w:right w:val="nil"/>
            </w:tcBorders>
            <w:vAlign w:val="center"/>
          </w:tcPr>
          <w:p w14:paraId="3DA50CB7" w14:textId="77777777" w:rsidR="00A26BEC" w:rsidRPr="00913159" w:rsidRDefault="00A26BEC" w:rsidP="00885CED">
            <w:pPr>
              <w:pStyle w:val="ListParagraph"/>
              <w:spacing w:after="0"/>
              <w:ind w:left="0"/>
              <w:jc w:val="center"/>
              <w:rPr>
                <w:rFonts w:ascii="Cambria" w:hAnsi="Cambria" w:cs="Times New Roman"/>
                <w:sz w:val="22"/>
                <w:szCs w:val="22"/>
                <w:vertAlign w:val="subscript"/>
              </w:rPr>
            </w:pPr>
            <w:proofErr w:type="spellStart"/>
            <w:r w:rsidRPr="00913159">
              <w:rPr>
                <w:rFonts w:ascii="Cambria" w:hAnsi="Cambria" w:cs="Times New Roman"/>
                <w:sz w:val="22"/>
                <w:szCs w:val="22"/>
              </w:rPr>
              <w:t>thitung</w:t>
            </w:r>
            <w:proofErr w:type="spellEnd"/>
          </w:p>
        </w:tc>
        <w:tc>
          <w:tcPr>
            <w:tcW w:w="771" w:type="pct"/>
            <w:tcBorders>
              <w:top w:val="single" w:sz="4" w:space="0" w:color="auto"/>
              <w:left w:val="nil"/>
              <w:bottom w:val="single" w:sz="4" w:space="0" w:color="auto"/>
              <w:right w:val="nil"/>
            </w:tcBorders>
            <w:vAlign w:val="center"/>
          </w:tcPr>
          <w:p w14:paraId="7FE58DA3" w14:textId="77777777" w:rsidR="00A26BEC" w:rsidRPr="00913159" w:rsidRDefault="00A26BEC" w:rsidP="00885CED">
            <w:pPr>
              <w:pStyle w:val="ListParagraph"/>
              <w:spacing w:after="0"/>
              <w:ind w:left="0"/>
              <w:jc w:val="center"/>
              <w:rPr>
                <w:rFonts w:ascii="Cambria" w:hAnsi="Cambria" w:cs="Times New Roman"/>
                <w:sz w:val="22"/>
                <w:szCs w:val="22"/>
                <w:vertAlign w:val="subscript"/>
              </w:rPr>
            </w:pPr>
            <w:r w:rsidRPr="00913159">
              <w:rPr>
                <w:rFonts w:ascii="Cambria" w:hAnsi="Cambria" w:cs="Times New Roman"/>
                <w:sz w:val="22"/>
                <w:szCs w:val="22"/>
              </w:rPr>
              <w:t>table</w:t>
            </w:r>
          </w:p>
        </w:tc>
        <w:tc>
          <w:tcPr>
            <w:tcW w:w="627" w:type="pct"/>
            <w:tcBorders>
              <w:top w:val="single" w:sz="4" w:space="0" w:color="auto"/>
              <w:left w:val="nil"/>
              <w:bottom w:val="single" w:sz="4" w:space="0" w:color="auto"/>
              <w:right w:val="nil"/>
            </w:tcBorders>
            <w:vAlign w:val="center"/>
          </w:tcPr>
          <w:p w14:paraId="24779928"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Sig.</w:t>
            </w:r>
          </w:p>
        </w:tc>
        <w:tc>
          <w:tcPr>
            <w:tcW w:w="798" w:type="pct"/>
            <w:tcBorders>
              <w:top w:val="single" w:sz="4" w:space="0" w:color="auto"/>
              <w:left w:val="nil"/>
              <w:bottom w:val="single" w:sz="4" w:space="0" w:color="auto"/>
              <w:right w:val="nil"/>
            </w:tcBorders>
            <w:vAlign w:val="center"/>
          </w:tcPr>
          <w:p w14:paraId="1B3B5F96"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Standard</w:t>
            </w:r>
          </w:p>
        </w:tc>
        <w:tc>
          <w:tcPr>
            <w:tcW w:w="1254" w:type="pct"/>
            <w:tcBorders>
              <w:top w:val="single" w:sz="4" w:space="0" w:color="auto"/>
              <w:left w:val="nil"/>
              <w:bottom w:val="single" w:sz="4" w:space="0" w:color="auto"/>
              <w:right w:val="nil"/>
            </w:tcBorders>
            <w:vAlign w:val="center"/>
          </w:tcPr>
          <w:p w14:paraId="4FCEBEFB"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Information</w:t>
            </w:r>
          </w:p>
        </w:tc>
      </w:tr>
      <w:tr w:rsidR="00913159" w:rsidRPr="00913159" w14:paraId="5E6D2C96" w14:textId="77777777" w:rsidTr="003D1CFC">
        <w:trPr>
          <w:jc w:val="center"/>
        </w:trPr>
        <w:tc>
          <w:tcPr>
            <w:tcW w:w="815" w:type="pct"/>
            <w:tcBorders>
              <w:top w:val="single" w:sz="4" w:space="0" w:color="auto"/>
              <w:left w:val="nil"/>
              <w:bottom w:val="nil"/>
              <w:right w:val="nil"/>
            </w:tcBorders>
            <w:vAlign w:val="center"/>
          </w:tcPr>
          <w:p w14:paraId="063BF127"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H1</w:t>
            </w:r>
          </w:p>
        </w:tc>
        <w:tc>
          <w:tcPr>
            <w:tcW w:w="735" w:type="pct"/>
            <w:tcBorders>
              <w:top w:val="single" w:sz="4" w:space="0" w:color="auto"/>
              <w:left w:val="nil"/>
              <w:bottom w:val="nil"/>
              <w:right w:val="nil"/>
            </w:tcBorders>
          </w:tcPr>
          <w:p w14:paraId="449F065C"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3,519</w:t>
            </w:r>
          </w:p>
        </w:tc>
        <w:tc>
          <w:tcPr>
            <w:tcW w:w="771" w:type="pct"/>
            <w:tcBorders>
              <w:top w:val="single" w:sz="4" w:space="0" w:color="auto"/>
              <w:left w:val="nil"/>
              <w:bottom w:val="nil"/>
              <w:right w:val="nil"/>
            </w:tcBorders>
            <w:vAlign w:val="center"/>
          </w:tcPr>
          <w:p w14:paraId="23C3E32C" w14:textId="77777777" w:rsidR="00A26BEC" w:rsidRPr="00913159" w:rsidRDefault="00A26BEC" w:rsidP="00885CED">
            <w:pPr>
              <w:adjustRightInd w:val="0"/>
              <w:spacing w:after="0" w:line="276" w:lineRule="auto"/>
              <w:ind w:left="60" w:right="60"/>
              <w:jc w:val="center"/>
              <w:rPr>
                <w:rFonts w:ascii="Cambria" w:hAnsi="Cambria"/>
                <w:sz w:val="22"/>
                <w:szCs w:val="22"/>
              </w:rPr>
            </w:pPr>
            <w:r w:rsidRPr="00913159">
              <w:rPr>
                <w:rFonts w:ascii="Cambria" w:hAnsi="Cambria"/>
                <w:sz w:val="22"/>
                <w:szCs w:val="22"/>
              </w:rPr>
              <w:t>&gt;1,657</w:t>
            </w:r>
          </w:p>
        </w:tc>
        <w:tc>
          <w:tcPr>
            <w:tcW w:w="627" w:type="pct"/>
            <w:tcBorders>
              <w:top w:val="single" w:sz="4" w:space="0" w:color="auto"/>
              <w:left w:val="nil"/>
              <w:bottom w:val="nil"/>
              <w:right w:val="nil"/>
            </w:tcBorders>
          </w:tcPr>
          <w:p w14:paraId="2CEECA1B"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.001</w:t>
            </w:r>
          </w:p>
        </w:tc>
        <w:tc>
          <w:tcPr>
            <w:tcW w:w="798" w:type="pct"/>
            <w:tcBorders>
              <w:top w:val="single" w:sz="4" w:space="0" w:color="auto"/>
              <w:left w:val="nil"/>
              <w:bottom w:val="nil"/>
              <w:right w:val="nil"/>
            </w:tcBorders>
            <w:vAlign w:val="center"/>
          </w:tcPr>
          <w:p w14:paraId="5FCC2D59"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0.05</w:t>
            </w:r>
          </w:p>
        </w:tc>
        <w:tc>
          <w:tcPr>
            <w:tcW w:w="1254" w:type="pct"/>
            <w:tcBorders>
              <w:top w:val="single" w:sz="4" w:space="0" w:color="auto"/>
              <w:left w:val="nil"/>
              <w:bottom w:val="nil"/>
              <w:right w:val="nil"/>
            </w:tcBorders>
            <w:vAlign w:val="center"/>
          </w:tcPr>
          <w:p w14:paraId="36F48A5F"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Ha Accepted</w:t>
            </w:r>
          </w:p>
        </w:tc>
      </w:tr>
      <w:tr w:rsidR="00913159" w:rsidRPr="00913159" w14:paraId="5BAC85DC" w14:textId="77777777" w:rsidTr="003D1CFC">
        <w:trPr>
          <w:jc w:val="center"/>
        </w:trPr>
        <w:tc>
          <w:tcPr>
            <w:tcW w:w="815" w:type="pct"/>
            <w:tcBorders>
              <w:top w:val="nil"/>
              <w:left w:val="nil"/>
              <w:bottom w:val="nil"/>
              <w:right w:val="nil"/>
            </w:tcBorders>
            <w:vAlign w:val="center"/>
          </w:tcPr>
          <w:p w14:paraId="1D545AAC"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lastRenderedPageBreak/>
              <w:t>H2</w:t>
            </w:r>
          </w:p>
        </w:tc>
        <w:tc>
          <w:tcPr>
            <w:tcW w:w="735" w:type="pct"/>
            <w:tcBorders>
              <w:top w:val="nil"/>
              <w:left w:val="nil"/>
              <w:bottom w:val="nil"/>
              <w:right w:val="nil"/>
            </w:tcBorders>
          </w:tcPr>
          <w:p w14:paraId="48274CB4"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3.107</w:t>
            </w:r>
          </w:p>
        </w:tc>
        <w:tc>
          <w:tcPr>
            <w:tcW w:w="771" w:type="pct"/>
            <w:tcBorders>
              <w:top w:val="nil"/>
              <w:left w:val="nil"/>
              <w:bottom w:val="nil"/>
              <w:right w:val="nil"/>
            </w:tcBorders>
            <w:vAlign w:val="center"/>
          </w:tcPr>
          <w:p w14:paraId="26B67587" w14:textId="77777777" w:rsidR="00A26BEC" w:rsidRPr="00913159" w:rsidRDefault="00A26BEC" w:rsidP="00885CED">
            <w:pPr>
              <w:adjustRightInd w:val="0"/>
              <w:spacing w:after="0" w:line="276" w:lineRule="auto"/>
              <w:ind w:left="60" w:right="60"/>
              <w:jc w:val="center"/>
              <w:rPr>
                <w:rFonts w:ascii="Cambria" w:hAnsi="Cambria"/>
                <w:sz w:val="22"/>
                <w:szCs w:val="22"/>
              </w:rPr>
            </w:pPr>
            <w:r w:rsidRPr="00913159">
              <w:rPr>
                <w:rFonts w:ascii="Cambria" w:hAnsi="Cambria"/>
                <w:sz w:val="22"/>
                <w:szCs w:val="22"/>
              </w:rPr>
              <w:t>&gt;1,657</w:t>
            </w:r>
          </w:p>
        </w:tc>
        <w:tc>
          <w:tcPr>
            <w:tcW w:w="627" w:type="pct"/>
            <w:tcBorders>
              <w:top w:val="nil"/>
              <w:left w:val="nil"/>
              <w:bottom w:val="nil"/>
              <w:right w:val="nil"/>
            </w:tcBorders>
          </w:tcPr>
          <w:p w14:paraId="40C7713E"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.015</w:t>
            </w:r>
          </w:p>
        </w:tc>
        <w:tc>
          <w:tcPr>
            <w:tcW w:w="798" w:type="pct"/>
            <w:tcBorders>
              <w:top w:val="nil"/>
              <w:left w:val="nil"/>
              <w:bottom w:val="nil"/>
              <w:right w:val="nil"/>
            </w:tcBorders>
            <w:vAlign w:val="center"/>
          </w:tcPr>
          <w:p w14:paraId="3E503004"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0.05</w:t>
            </w:r>
          </w:p>
        </w:tc>
        <w:tc>
          <w:tcPr>
            <w:tcW w:w="1254" w:type="pct"/>
            <w:tcBorders>
              <w:top w:val="nil"/>
              <w:left w:val="nil"/>
              <w:bottom w:val="nil"/>
              <w:right w:val="nil"/>
            </w:tcBorders>
            <w:vAlign w:val="center"/>
          </w:tcPr>
          <w:p w14:paraId="254ED0C9"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Ha Accepted</w:t>
            </w:r>
          </w:p>
        </w:tc>
      </w:tr>
      <w:tr w:rsidR="00913159" w:rsidRPr="00913159" w14:paraId="0CE04689" w14:textId="77777777" w:rsidTr="003D1CFC">
        <w:trPr>
          <w:jc w:val="center"/>
        </w:trPr>
        <w:tc>
          <w:tcPr>
            <w:tcW w:w="815" w:type="pct"/>
            <w:tcBorders>
              <w:top w:val="nil"/>
              <w:left w:val="nil"/>
              <w:bottom w:val="nil"/>
              <w:right w:val="nil"/>
            </w:tcBorders>
            <w:vAlign w:val="center"/>
          </w:tcPr>
          <w:p w14:paraId="049836C5"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H3</w:t>
            </w:r>
          </w:p>
        </w:tc>
        <w:tc>
          <w:tcPr>
            <w:tcW w:w="735" w:type="pct"/>
            <w:tcBorders>
              <w:top w:val="nil"/>
              <w:left w:val="nil"/>
              <w:bottom w:val="nil"/>
              <w:right w:val="nil"/>
            </w:tcBorders>
          </w:tcPr>
          <w:p w14:paraId="5E79E1FB"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1,865</w:t>
            </w:r>
          </w:p>
        </w:tc>
        <w:tc>
          <w:tcPr>
            <w:tcW w:w="771" w:type="pct"/>
            <w:tcBorders>
              <w:top w:val="nil"/>
              <w:left w:val="nil"/>
              <w:bottom w:val="nil"/>
              <w:right w:val="nil"/>
            </w:tcBorders>
            <w:vAlign w:val="center"/>
          </w:tcPr>
          <w:p w14:paraId="04DF3FCA" w14:textId="77777777" w:rsidR="00A26BEC" w:rsidRPr="00913159" w:rsidRDefault="00A26BEC" w:rsidP="00885CED">
            <w:pPr>
              <w:adjustRightInd w:val="0"/>
              <w:spacing w:after="0" w:line="276" w:lineRule="auto"/>
              <w:ind w:left="60" w:right="60"/>
              <w:jc w:val="center"/>
              <w:rPr>
                <w:rFonts w:ascii="Cambria" w:hAnsi="Cambria"/>
                <w:sz w:val="22"/>
                <w:szCs w:val="22"/>
              </w:rPr>
            </w:pPr>
            <w:r w:rsidRPr="00913159">
              <w:rPr>
                <w:rFonts w:ascii="Cambria" w:hAnsi="Cambria"/>
                <w:sz w:val="22"/>
                <w:szCs w:val="22"/>
              </w:rPr>
              <w:t>&gt;1,657</w:t>
            </w:r>
          </w:p>
        </w:tc>
        <w:tc>
          <w:tcPr>
            <w:tcW w:w="627" w:type="pct"/>
            <w:tcBorders>
              <w:top w:val="nil"/>
              <w:left w:val="nil"/>
              <w:bottom w:val="nil"/>
              <w:right w:val="nil"/>
            </w:tcBorders>
          </w:tcPr>
          <w:p w14:paraId="039EE78D"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.045</w:t>
            </w:r>
          </w:p>
        </w:tc>
        <w:tc>
          <w:tcPr>
            <w:tcW w:w="798" w:type="pct"/>
            <w:tcBorders>
              <w:top w:val="nil"/>
              <w:left w:val="nil"/>
              <w:bottom w:val="nil"/>
              <w:right w:val="nil"/>
            </w:tcBorders>
            <w:vAlign w:val="center"/>
          </w:tcPr>
          <w:p w14:paraId="0225C46C"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0.05</w:t>
            </w:r>
          </w:p>
        </w:tc>
        <w:tc>
          <w:tcPr>
            <w:tcW w:w="1254" w:type="pct"/>
            <w:tcBorders>
              <w:top w:val="nil"/>
              <w:left w:val="nil"/>
              <w:bottom w:val="nil"/>
              <w:right w:val="nil"/>
            </w:tcBorders>
            <w:vAlign w:val="center"/>
          </w:tcPr>
          <w:p w14:paraId="7DED1F8C"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Ha Accepted</w:t>
            </w:r>
          </w:p>
        </w:tc>
      </w:tr>
      <w:tr w:rsidR="00913159" w:rsidRPr="00913159" w14:paraId="6A5EB899" w14:textId="77777777" w:rsidTr="003D1CFC">
        <w:trPr>
          <w:jc w:val="center"/>
        </w:trPr>
        <w:tc>
          <w:tcPr>
            <w:tcW w:w="815" w:type="pct"/>
            <w:tcBorders>
              <w:top w:val="nil"/>
              <w:left w:val="nil"/>
              <w:bottom w:val="single" w:sz="4" w:space="0" w:color="auto"/>
              <w:right w:val="nil"/>
            </w:tcBorders>
            <w:vAlign w:val="center"/>
          </w:tcPr>
          <w:p w14:paraId="12FEA5F4"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H4</w:t>
            </w:r>
          </w:p>
        </w:tc>
        <w:tc>
          <w:tcPr>
            <w:tcW w:w="735" w:type="pct"/>
            <w:tcBorders>
              <w:top w:val="nil"/>
              <w:left w:val="nil"/>
              <w:bottom w:val="single" w:sz="4" w:space="0" w:color="auto"/>
              <w:right w:val="nil"/>
            </w:tcBorders>
          </w:tcPr>
          <w:p w14:paraId="4E312D40"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2,129</w:t>
            </w:r>
          </w:p>
        </w:tc>
        <w:tc>
          <w:tcPr>
            <w:tcW w:w="771" w:type="pct"/>
            <w:tcBorders>
              <w:top w:val="nil"/>
              <w:left w:val="nil"/>
              <w:bottom w:val="single" w:sz="4" w:space="0" w:color="auto"/>
              <w:right w:val="nil"/>
            </w:tcBorders>
            <w:vAlign w:val="center"/>
          </w:tcPr>
          <w:p w14:paraId="4FA1BF26" w14:textId="77777777" w:rsidR="00A26BEC" w:rsidRPr="00913159" w:rsidRDefault="00A26BEC" w:rsidP="00885CED">
            <w:pPr>
              <w:adjustRightInd w:val="0"/>
              <w:spacing w:after="0" w:line="276" w:lineRule="auto"/>
              <w:ind w:left="60" w:right="60"/>
              <w:jc w:val="center"/>
              <w:rPr>
                <w:rFonts w:ascii="Cambria" w:hAnsi="Cambria"/>
                <w:sz w:val="22"/>
                <w:szCs w:val="22"/>
              </w:rPr>
            </w:pPr>
            <w:r w:rsidRPr="00913159">
              <w:rPr>
                <w:rFonts w:ascii="Cambria" w:hAnsi="Cambria"/>
                <w:sz w:val="22"/>
                <w:szCs w:val="22"/>
              </w:rPr>
              <w:t>&gt;1,657</w:t>
            </w:r>
          </w:p>
        </w:tc>
        <w:tc>
          <w:tcPr>
            <w:tcW w:w="627" w:type="pct"/>
            <w:tcBorders>
              <w:top w:val="nil"/>
              <w:left w:val="nil"/>
              <w:bottom w:val="single" w:sz="4" w:space="0" w:color="auto"/>
              <w:right w:val="nil"/>
            </w:tcBorders>
          </w:tcPr>
          <w:p w14:paraId="0B2EF8EA" w14:textId="77777777" w:rsidR="00A26BEC" w:rsidRPr="00913159" w:rsidRDefault="00A26BEC" w:rsidP="00885CED">
            <w:pPr>
              <w:autoSpaceDE w:val="0"/>
              <w:autoSpaceDN w:val="0"/>
              <w:adjustRightInd w:val="0"/>
              <w:spacing w:after="0" w:line="276" w:lineRule="auto"/>
              <w:ind w:left="60" w:right="60"/>
              <w:jc w:val="center"/>
              <w:rPr>
                <w:rFonts w:ascii="Cambria" w:hAnsi="Cambria"/>
                <w:sz w:val="22"/>
                <w:szCs w:val="22"/>
              </w:rPr>
            </w:pPr>
            <w:r w:rsidRPr="00913159">
              <w:rPr>
                <w:rFonts w:ascii="Cambria" w:hAnsi="Cambria"/>
                <w:sz w:val="22"/>
                <w:szCs w:val="22"/>
              </w:rPr>
              <w:t>.035</w:t>
            </w:r>
          </w:p>
        </w:tc>
        <w:tc>
          <w:tcPr>
            <w:tcW w:w="798" w:type="pct"/>
            <w:tcBorders>
              <w:top w:val="nil"/>
              <w:left w:val="nil"/>
              <w:bottom w:val="single" w:sz="4" w:space="0" w:color="auto"/>
              <w:right w:val="nil"/>
            </w:tcBorders>
            <w:vAlign w:val="center"/>
          </w:tcPr>
          <w:p w14:paraId="240FCFE6"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0.05</w:t>
            </w:r>
          </w:p>
        </w:tc>
        <w:tc>
          <w:tcPr>
            <w:tcW w:w="1254" w:type="pct"/>
            <w:tcBorders>
              <w:top w:val="nil"/>
              <w:left w:val="nil"/>
              <w:bottom w:val="single" w:sz="4" w:space="0" w:color="auto"/>
              <w:right w:val="nil"/>
            </w:tcBorders>
            <w:vAlign w:val="center"/>
          </w:tcPr>
          <w:p w14:paraId="0DA76873" w14:textId="77777777" w:rsidR="00A26BEC" w:rsidRPr="00913159" w:rsidRDefault="00A26BEC" w:rsidP="00885CED">
            <w:pPr>
              <w:pStyle w:val="ListParagraph"/>
              <w:spacing w:after="0"/>
              <w:ind w:left="0"/>
              <w:jc w:val="center"/>
              <w:rPr>
                <w:rFonts w:ascii="Cambria" w:hAnsi="Cambria" w:cs="Times New Roman"/>
                <w:sz w:val="22"/>
                <w:szCs w:val="22"/>
              </w:rPr>
            </w:pPr>
            <w:r w:rsidRPr="00913159">
              <w:rPr>
                <w:rFonts w:ascii="Cambria" w:hAnsi="Cambria" w:cs="Times New Roman"/>
                <w:sz w:val="22"/>
                <w:szCs w:val="22"/>
              </w:rPr>
              <w:t>Ha Accepted</w:t>
            </w:r>
          </w:p>
        </w:tc>
      </w:tr>
    </w:tbl>
    <w:p w14:paraId="4EDCC7F5" w14:textId="77777777" w:rsidR="003D1CFC" w:rsidRPr="00913159" w:rsidRDefault="003D1CFC" w:rsidP="00885CED">
      <w:pPr>
        <w:spacing w:after="0" w:line="276" w:lineRule="auto"/>
        <w:contextualSpacing/>
        <w:jc w:val="both"/>
        <w:outlineLvl w:val="1"/>
        <w:rPr>
          <w:rFonts w:ascii="Cambria" w:eastAsia="SimSun" w:hAnsi="Cambria" w:cs="Times New Roman"/>
          <w:lang w:val="sv-SE"/>
        </w:rPr>
      </w:pPr>
      <w:r w:rsidRPr="00913159">
        <w:rPr>
          <w:rFonts w:ascii="Cambria" w:eastAsia="SimSun" w:hAnsi="Cambria" w:cs="Times New Roman"/>
          <w:lang w:val="sv-SE"/>
        </w:rPr>
        <w:t>Source: processed data</w:t>
      </w:r>
    </w:p>
    <w:p w14:paraId="06EFDDF2" w14:textId="77777777" w:rsidR="00A26BEC" w:rsidRPr="00913159" w:rsidRDefault="00A26BEC" w:rsidP="00885CED">
      <w:pPr>
        <w:spacing w:after="0" w:line="276" w:lineRule="auto"/>
        <w:ind w:right="84"/>
        <w:contextualSpacing/>
        <w:jc w:val="both"/>
        <w:rPr>
          <w:rFonts w:ascii="Cambria" w:eastAsia="Times New Roman" w:hAnsi="Cambria" w:cs="Times New Roman"/>
          <w:lang w:val="en-ID"/>
        </w:rPr>
      </w:pPr>
      <w:r w:rsidRPr="00913159">
        <w:rPr>
          <w:rFonts w:ascii="Cambria" w:eastAsia="SimSun" w:hAnsi="Cambria" w:cs="Times New Roman"/>
          <w:lang w:val="en-ID"/>
        </w:rPr>
        <w:t>Based on the results of the t-test in the table above, it can be explained in the following form:</w:t>
      </w:r>
    </w:p>
    <w:p w14:paraId="3B223B85" w14:textId="77777777" w:rsidR="00A26BEC" w:rsidRPr="00913159" w:rsidRDefault="00A26BEC" w:rsidP="00885CED">
      <w:pPr>
        <w:autoSpaceDE w:val="0"/>
        <w:autoSpaceDN w:val="0"/>
        <w:adjustRightInd w:val="0"/>
        <w:spacing w:after="0" w:line="276" w:lineRule="auto"/>
        <w:ind w:left="284" w:hanging="284"/>
        <w:contextualSpacing/>
        <w:jc w:val="both"/>
        <w:rPr>
          <w:rFonts w:ascii="Cambria" w:eastAsia="SimSun" w:hAnsi="Cambria" w:cs="Times New Roman"/>
          <w:lang w:val="en-ID"/>
        </w:rPr>
      </w:pPr>
      <w:r w:rsidRPr="00913159">
        <w:rPr>
          <w:rFonts w:ascii="Cambria" w:eastAsia="SimSun" w:hAnsi="Cambria" w:cs="Times New Roman"/>
          <w:lang w:val="en-ID"/>
        </w:rPr>
        <w:t>a.</w:t>
      </w:r>
      <w:r w:rsidRPr="00913159">
        <w:rPr>
          <w:rFonts w:ascii="Cambria" w:eastAsia="SimSun" w:hAnsi="Cambria" w:cs="Times New Roman"/>
          <w:lang w:val="en-ID"/>
        </w:rPr>
        <w:tab/>
        <w:t>The Influence of Service Response Time on Patient Loyalty</w:t>
      </w:r>
    </w:p>
    <w:p w14:paraId="2B523668"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lang w:val="en-ID"/>
        </w:rPr>
      </w:pPr>
      <w:r w:rsidRPr="00913159">
        <w:rPr>
          <w:rFonts w:ascii="Cambria" w:eastAsia="SimSun" w:hAnsi="Cambria" w:cs="Times New Roman"/>
          <w:lang w:val="en-ID"/>
        </w:rPr>
        <w:t xml:space="preserve">The Service Response Time variable has a calculated t value &gt; t table (3.519 &gt; 1.657) and a significance of 0.001 &lt; 0.05, so Ho is rejected and Ha is accepted. It can be concluded that there is a positive and significant influence of Service Response Time on Patient Loyalty at the </w:t>
      </w:r>
      <w:proofErr w:type="spellStart"/>
      <w:r w:rsidRPr="00913159">
        <w:rPr>
          <w:rFonts w:ascii="Cambria" w:eastAsia="SimSun" w:hAnsi="Cambria" w:cs="Times New Roman"/>
          <w:lang w:val="en-ID"/>
        </w:rPr>
        <w:t>Tawangsari</w:t>
      </w:r>
      <w:proofErr w:type="spellEnd"/>
      <w:r w:rsidRPr="00913159">
        <w:rPr>
          <w:rFonts w:ascii="Cambria" w:eastAsia="SimSun" w:hAnsi="Cambria" w:cs="Times New Roman"/>
          <w:lang w:val="en-ID"/>
        </w:rPr>
        <w:t xml:space="preserve"> Community Health </w:t>
      </w:r>
      <w:proofErr w:type="spellStart"/>
      <w:r w:rsidRPr="00913159">
        <w:rPr>
          <w:rFonts w:ascii="Cambria" w:eastAsia="SimSun" w:hAnsi="Cambria" w:cs="Times New Roman"/>
          <w:lang w:val="en-ID"/>
        </w:rPr>
        <w:t>Center</w:t>
      </w:r>
      <w:proofErr w:type="spellEnd"/>
      <w:r w:rsidRPr="00913159">
        <w:rPr>
          <w:rFonts w:ascii="Cambria" w:eastAsia="SimSun" w:hAnsi="Cambria" w:cs="Times New Roman"/>
          <w:lang w:val="en-ID"/>
        </w:rPr>
        <w:t xml:space="preserve">, </w:t>
      </w:r>
      <w:proofErr w:type="spellStart"/>
      <w:r w:rsidRPr="00913159">
        <w:rPr>
          <w:rFonts w:ascii="Cambria" w:eastAsia="SimSun" w:hAnsi="Cambria" w:cs="Times New Roman"/>
          <w:lang w:val="en-ID"/>
        </w:rPr>
        <w:t>Sukoharjo</w:t>
      </w:r>
      <w:proofErr w:type="spellEnd"/>
      <w:r w:rsidRPr="00913159">
        <w:rPr>
          <w:rFonts w:ascii="Cambria" w:eastAsia="SimSun" w:hAnsi="Cambria" w:cs="Times New Roman"/>
          <w:lang w:val="en-ID"/>
        </w:rPr>
        <w:t xml:space="preserve"> Regency.</w:t>
      </w:r>
    </w:p>
    <w:p w14:paraId="0BFE0C80" w14:textId="77777777" w:rsidR="00A26BEC" w:rsidRPr="00913159" w:rsidRDefault="00A26BEC" w:rsidP="00885CED">
      <w:pPr>
        <w:autoSpaceDE w:val="0"/>
        <w:autoSpaceDN w:val="0"/>
        <w:adjustRightInd w:val="0"/>
        <w:spacing w:after="0" w:line="276" w:lineRule="auto"/>
        <w:ind w:left="284" w:hanging="284"/>
        <w:contextualSpacing/>
        <w:jc w:val="both"/>
        <w:rPr>
          <w:rFonts w:ascii="Cambria" w:eastAsia="SimSun" w:hAnsi="Cambria" w:cs="Times New Roman"/>
          <w:lang w:val="en-ID"/>
        </w:rPr>
      </w:pPr>
      <w:r w:rsidRPr="00913159">
        <w:rPr>
          <w:rFonts w:ascii="Cambria" w:eastAsia="SimSun" w:hAnsi="Cambria" w:cs="Times New Roman"/>
          <w:lang w:val="en-ID"/>
        </w:rPr>
        <w:t>b.</w:t>
      </w:r>
      <w:r w:rsidRPr="00913159">
        <w:rPr>
          <w:rFonts w:ascii="Cambria" w:eastAsia="SimSun" w:hAnsi="Cambria" w:cs="Times New Roman"/>
          <w:lang w:val="en-ID"/>
        </w:rPr>
        <w:tab/>
        <w:t>The Influence of Officer Competence on Patient Loyalty</w:t>
      </w:r>
    </w:p>
    <w:p w14:paraId="2C324060"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lang w:val="en-ID"/>
        </w:rPr>
      </w:pPr>
      <w:r w:rsidRPr="00913159">
        <w:rPr>
          <w:rFonts w:ascii="Cambria" w:eastAsia="SimSun" w:hAnsi="Cambria" w:cs="Times New Roman"/>
          <w:lang w:val="en-ID"/>
        </w:rPr>
        <w:t xml:space="preserve">The Officer Competence variable has a t-value &gt; t-table (3.107 &gt; 1.657) and a significance of 0.015 &lt; 0.05, so Ho is rejected and Ha is accepted. It can be concluded that there is a positive and significant influence of Officer Competence on Patient Loyalty at the </w:t>
      </w:r>
      <w:proofErr w:type="spellStart"/>
      <w:r w:rsidRPr="00913159">
        <w:rPr>
          <w:rFonts w:ascii="Cambria" w:eastAsia="SimSun" w:hAnsi="Cambria" w:cs="Times New Roman"/>
          <w:lang w:val="en-ID"/>
        </w:rPr>
        <w:t>Tawangsari</w:t>
      </w:r>
      <w:proofErr w:type="spellEnd"/>
      <w:r w:rsidRPr="00913159">
        <w:rPr>
          <w:rFonts w:ascii="Cambria" w:eastAsia="SimSun" w:hAnsi="Cambria" w:cs="Times New Roman"/>
          <w:lang w:val="en-ID"/>
        </w:rPr>
        <w:t xml:space="preserve"> Community Health </w:t>
      </w:r>
      <w:proofErr w:type="spellStart"/>
      <w:r w:rsidRPr="00913159">
        <w:rPr>
          <w:rFonts w:ascii="Cambria" w:eastAsia="SimSun" w:hAnsi="Cambria" w:cs="Times New Roman"/>
          <w:lang w:val="en-ID"/>
        </w:rPr>
        <w:t>Center</w:t>
      </w:r>
      <w:proofErr w:type="spellEnd"/>
      <w:r w:rsidRPr="00913159">
        <w:rPr>
          <w:rFonts w:ascii="Cambria" w:eastAsia="SimSun" w:hAnsi="Cambria" w:cs="Times New Roman"/>
          <w:lang w:val="en-ID"/>
        </w:rPr>
        <w:t xml:space="preserve">, </w:t>
      </w:r>
      <w:proofErr w:type="spellStart"/>
      <w:r w:rsidRPr="00913159">
        <w:rPr>
          <w:rFonts w:ascii="Cambria" w:eastAsia="SimSun" w:hAnsi="Cambria" w:cs="Times New Roman"/>
          <w:lang w:val="en-ID"/>
        </w:rPr>
        <w:t>Sukoharjo</w:t>
      </w:r>
      <w:proofErr w:type="spellEnd"/>
      <w:r w:rsidRPr="00913159">
        <w:rPr>
          <w:rFonts w:ascii="Cambria" w:eastAsia="SimSun" w:hAnsi="Cambria" w:cs="Times New Roman"/>
          <w:lang w:val="en-ID"/>
        </w:rPr>
        <w:t xml:space="preserve"> Regency.</w:t>
      </w:r>
    </w:p>
    <w:p w14:paraId="1EDC6D5B" w14:textId="77777777" w:rsidR="00A26BEC" w:rsidRPr="00913159" w:rsidRDefault="00A26BEC" w:rsidP="00885CED">
      <w:pPr>
        <w:autoSpaceDE w:val="0"/>
        <w:autoSpaceDN w:val="0"/>
        <w:adjustRightInd w:val="0"/>
        <w:spacing w:after="0" w:line="276" w:lineRule="auto"/>
        <w:ind w:left="284" w:hanging="284"/>
        <w:contextualSpacing/>
        <w:jc w:val="both"/>
        <w:rPr>
          <w:rFonts w:ascii="Cambria" w:eastAsia="SimSun" w:hAnsi="Cambria" w:cs="Times New Roman"/>
          <w:lang w:val="en-ID"/>
        </w:rPr>
      </w:pPr>
      <w:r w:rsidRPr="00913159">
        <w:rPr>
          <w:rFonts w:ascii="Cambria" w:eastAsia="SimSun" w:hAnsi="Cambria" w:cs="Times New Roman"/>
          <w:lang w:val="en-ID"/>
        </w:rPr>
        <w:t>c.</w:t>
      </w:r>
      <w:r w:rsidRPr="00913159">
        <w:rPr>
          <w:rFonts w:ascii="Cambria" w:eastAsia="SimSun" w:hAnsi="Cambria" w:cs="Times New Roman"/>
          <w:lang w:val="en-ID"/>
        </w:rPr>
        <w:tab/>
        <w:t>The Influence of Healthcare Facilities on Patient Loyalty</w:t>
      </w:r>
    </w:p>
    <w:p w14:paraId="095C04AB" w14:textId="77777777" w:rsidR="00A26BEC" w:rsidRPr="00913159" w:rsidRDefault="00A26BEC" w:rsidP="00885CED">
      <w:pPr>
        <w:autoSpaceDE w:val="0"/>
        <w:autoSpaceDN w:val="0"/>
        <w:adjustRightInd w:val="0"/>
        <w:spacing w:after="0" w:line="276" w:lineRule="auto"/>
        <w:ind w:left="284"/>
        <w:contextualSpacing/>
        <w:jc w:val="both"/>
        <w:rPr>
          <w:rFonts w:ascii="Cambria" w:eastAsia="SimSun" w:hAnsi="Cambria" w:cs="Times New Roman"/>
          <w:lang w:val="en-ID"/>
        </w:rPr>
      </w:pPr>
      <w:r w:rsidRPr="00913159">
        <w:rPr>
          <w:rFonts w:ascii="Cambria" w:eastAsia="SimSun" w:hAnsi="Cambria" w:cs="Times New Roman"/>
          <w:lang w:val="en-ID"/>
        </w:rPr>
        <w:t xml:space="preserve">The Health Facilities variable has a calculated t value &gt; t table (1.865 &gt; 1.657) and a significance of 0.045 &lt; 0.05, so Ho is rejected and Ha is accepted. It can be concluded that there is a positive and significant influence of Health Facilities on Patient Loyalty at the </w:t>
      </w:r>
      <w:proofErr w:type="spellStart"/>
      <w:r w:rsidRPr="00913159">
        <w:rPr>
          <w:rFonts w:ascii="Cambria" w:eastAsia="SimSun" w:hAnsi="Cambria" w:cs="Times New Roman"/>
          <w:lang w:val="en-ID"/>
        </w:rPr>
        <w:t>Tawangsari</w:t>
      </w:r>
      <w:proofErr w:type="spellEnd"/>
      <w:r w:rsidRPr="00913159">
        <w:rPr>
          <w:rFonts w:ascii="Cambria" w:eastAsia="SimSun" w:hAnsi="Cambria" w:cs="Times New Roman"/>
          <w:lang w:val="en-ID"/>
        </w:rPr>
        <w:t xml:space="preserve"> Community Health </w:t>
      </w:r>
      <w:proofErr w:type="spellStart"/>
      <w:r w:rsidRPr="00913159">
        <w:rPr>
          <w:rFonts w:ascii="Cambria" w:eastAsia="SimSun" w:hAnsi="Cambria" w:cs="Times New Roman"/>
          <w:lang w:val="en-ID"/>
        </w:rPr>
        <w:t>Center</w:t>
      </w:r>
      <w:proofErr w:type="spellEnd"/>
      <w:r w:rsidRPr="00913159">
        <w:rPr>
          <w:rFonts w:ascii="Cambria" w:eastAsia="SimSun" w:hAnsi="Cambria" w:cs="Times New Roman"/>
          <w:lang w:val="en-ID"/>
        </w:rPr>
        <w:t xml:space="preserve">, </w:t>
      </w:r>
      <w:proofErr w:type="spellStart"/>
      <w:r w:rsidRPr="00913159">
        <w:rPr>
          <w:rFonts w:ascii="Cambria" w:eastAsia="SimSun" w:hAnsi="Cambria" w:cs="Times New Roman"/>
          <w:lang w:val="en-ID"/>
        </w:rPr>
        <w:t>Sukoharjo</w:t>
      </w:r>
      <w:proofErr w:type="spellEnd"/>
      <w:r w:rsidRPr="00913159">
        <w:rPr>
          <w:rFonts w:ascii="Cambria" w:eastAsia="SimSun" w:hAnsi="Cambria" w:cs="Times New Roman"/>
          <w:lang w:val="en-ID"/>
        </w:rPr>
        <w:t xml:space="preserve"> Regency.</w:t>
      </w:r>
    </w:p>
    <w:p w14:paraId="2A2BC7F9" w14:textId="77777777" w:rsidR="00A26BEC" w:rsidRPr="00913159" w:rsidRDefault="00A26BEC" w:rsidP="00885CED">
      <w:pPr>
        <w:spacing w:after="0" w:line="276" w:lineRule="auto"/>
        <w:ind w:left="284" w:hanging="284"/>
        <w:jc w:val="both"/>
        <w:outlineLvl w:val="1"/>
        <w:rPr>
          <w:rFonts w:ascii="Cambria" w:hAnsi="Cambria" w:cs="Times New Roman"/>
          <w:lang w:val="id-ID"/>
        </w:rPr>
      </w:pPr>
      <w:r w:rsidRPr="00913159">
        <w:rPr>
          <w:rFonts w:ascii="Cambria" w:hAnsi="Cambria" w:cs="Times New Roman"/>
          <w:lang w:val="id-ID"/>
        </w:rPr>
        <w:t>d.</w:t>
      </w:r>
      <w:r w:rsidRPr="00913159">
        <w:rPr>
          <w:rFonts w:ascii="Cambria" w:hAnsi="Cambria" w:cs="Times New Roman"/>
          <w:lang w:val="id-ID"/>
        </w:rPr>
        <w:tab/>
        <w:t>The Impact of Complaint Handling on Patient Loyalty</w:t>
      </w:r>
    </w:p>
    <w:p w14:paraId="6CA3699B" w14:textId="77777777" w:rsidR="00A26BEC" w:rsidRPr="00913159" w:rsidRDefault="00A26BEC" w:rsidP="00885CED">
      <w:pPr>
        <w:spacing w:after="0" w:line="276" w:lineRule="auto"/>
        <w:ind w:left="284"/>
        <w:jc w:val="both"/>
        <w:outlineLvl w:val="1"/>
        <w:rPr>
          <w:rFonts w:ascii="Cambria" w:hAnsi="Cambria" w:cs="Times New Roman"/>
          <w:lang w:val="id-ID"/>
        </w:rPr>
      </w:pPr>
      <w:r w:rsidRPr="00913159">
        <w:rPr>
          <w:rFonts w:ascii="Cambria" w:hAnsi="Cambria" w:cs="Times New Roman"/>
          <w:lang w:val="id-ID"/>
        </w:rPr>
        <w:t>The Complaint Handling variable has a t-value &gt; t-table (2.129 &gt; 1.657) and a significance of 0.035 &lt; 0.05, so Ho is rejected and Ha is accepted. It can be concluded that there is a positive and significant influence of Complaint Handling on Patient Loyalty at the Tawangsari Community Health Center, Sukoharjo Regency.</w:t>
      </w:r>
    </w:p>
    <w:p w14:paraId="54174A75" w14:textId="77777777" w:rsidR="003D1CFC" w:rsidRPr="00913159" w:rsidRDefault="003D1CFC" w:rsidP="00885CED">
      <w:pPr>
        <w:spacing w:after="0" w:line="276" w:lineRule="auto"/>
        <w:jc w:val="both"/>
        <w:outlineLvl w:val="1"/>
        <w:rPr>
          <w:rFonts w:ascii="Cambria" w:eastAsia="SimSun" w:hAnsi="Cambria" w:cs="Times New Roman"/>
          <w:lang w:val="id-ID"/>
        </w:rPr>
      </w:pPr>
    </w:p>
    <w:p w14:paraId="1C903AC1" w14:textId="77777777" w:rsidR="00A26BEC" w:rsidRPr="00913159" w:rsidRDefault="00A26BEC" w:rsidP="00885CED">
      <w:pPr>
        <w:spacing w:after="0" w:line="276" w:lineRule="auto"/>
        <w:jc w:val="both"/>
        <w:outlineLvl w:val="1"/>
        <w:rPr>
          <w:rFonts w:ascii="Cambria" w:eastAsia="SimSun" w:hAnsi="Cambria" w:cs="Times New Roman"/>
          <w:b/>
          <w:bCs/>
          <w:lang w:val="id-ID"/>
        </w:rPr>
      </w:pPr>
      <w:r w:rsidRPr="00913159">
        <w:rPr>
          <w:rFonts w:ascii="Cambria" w:eastAsia="SimSun" w:hAnsi="Cambria" w:cs="Times New Roman"/>
          <w:b/>
          <w:bCs/>
          <w:lang w:val="id-ID"/>
        </w:rPr>
        <w:t>Coefficient of Determination Test (R2)</w:t>
      </w:r>
    </w:p>
    <w:p w14:paraId="642AC631" w14:textId="77777777" w:rsidR="00A26BEC" w:rsidRPr="00913159" w:rsidRDefault="00A26BEC" w:rsidP="00885CED">
      <w:pPr>
        <w:spacing w:after="0" w:line="276" w:lineRule="auto"/>
        <w:ind w:left="450"/>
        <w:contextualSpacing/>
        <w:jc w:val="center"/>
        <w:outlineLvl w:val="1"/>
        <w:rPr>
          <w:rFonts w:ascii="Cambria" w:eastAsia="SimSun" w:hAnsi="Cambria" w:cs="Times New Roman"/>
          <w:lang w:val="en-ID"/>
        </w:rPr>
      </w:pPr>
      <w:r w:rsidRPr="00913159">
        <w:rPr>
          <w:rFonts w:ascii="Cambria" w:eastAsia="SimSun" w:hAnsi="Cambria" w:cs="Times New Roman"/>
          <w:lang w:val="en-ID"/>
        </w:rPr>
        <w:t>Table 4 Results of the Determination Coefficient</w:t>
      </w:r>
    </w:p>
    <w:tbl>
      <w:tblPr>
        <w:tblStyle w:val="TableGrid5"/>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876"/>
        <w:gridCol w:w="1016"/>
        <w:gridCol w:w="1499"/>
        <w:gridCol w:w="1980"/>
      </w:tblGrid>
      <w:tr w:rsidR="00913159" w:rsidRPr="00913159" w14:paraId="73067A77" w14:textId="77777777" w:rsidTr="0073632C">
        <w:trPr>
          <w:jc w:val="center"/>
        </w:trPr>
        <w:tc>
          <w:tcPr>
            <w:tcW w:w="1008" w:type="dxa"/>
            <w:tcBorders>
              <w:top w:val="single" w:sz="4" w:space="0" w:color="auto"/>
              <w:left w:val="nil"/>
              <w:bottom w:val="single" w:sz="4" w:space="0" w:color="auto"/>
              <w:right w:val="nil"/>
            </w:tcBorders>
            <w:vAlign w:val="center"/>
          </w:tcPr>
          <w:p w14:paraId="58023BF6" w14:textId="77777777" w:rsidR="00A26BEC" w:rsidRPr="00913159" w:rsidRDefault="00A26BEC" w:rsidP="00885CED">
            <w:pPr>
              <w:adjustRightInd w:val="0"/>
              <w:spacing w:line="276" w:lineRule="auto"/>
              <w:ind w:left="60" w:right="60"/>
              <w:jc w:val="center"/>
              <w:rPr>
                <w:rFonts w:ascii="Cambria" w:eastAsia="SimSun" w:hAnsi="Cambria" w:cs="Times New Roman"/>
                <w:i/>
                <w:sz w:val="22"/>
                <w:szCs w:val="22"/>
              </w:rPr>
            </w:pPr>
            <w:r w:rsidRPr="00913159">
              <w:rPr>
                <w:rFonts w:ascii="Cambria" w:eastAsia="SimSun" w:hAnsi="Cambria" w:cs="Times New Roman"/>
                <w:i/>
                <w:sz w:val="22"/>
                <w:szCs w:val="22"/>
              </w:rPr>
              <w:t>Model</w:t>
            </w:r>
          </w:p>
        </w:tc>
        <w:tc>
          <w:tcPr>
            <w:tcW w:w="876" w:type="dxa"/>
            <w:tcBorders>
              <w:top w:val="single" w:sz="4" w:space="0" w:color="auto"/>
              <w:left w:val="nil"/>
              <w:bottom w:val="single" w:sz="4" w:space="0" w:color="auto"/>
              <w:right w:val="nil"/>
            </w:tcBorders>
            <w:vAlign w:val="center"/>
          </w:tcPr>
          <w:p w14:paraId="68C3375D" w14:textId="77777777" w:rsidR="00A26BEC" w:rsidRPr="00913159" w:rsidRDefault="00A26BEC" w:rsidP="00885CED">
            <w:pPr>
              <w:adjustRightInd w:val="0"/>
              <w:spacing w:line="276" w:lineRule="auto"/>
              <w:ind w:left="60" w:right="60"/>
              <w:jc w:val="center"/>
              <w:rPr>
                <w:rFonts w:ascii="Cambria" w:eastAsia="SimSun" w:hAnsi="Cambria" w:cs="Times New Roman"/>
                <w:i/>
                <w:sz w:val="22"/>
                <w:szCs w:val="22"/>
              </w:rPr>
            </w:pPr>
            <w:r w:rsidRPr="00913159">
              <w:rPr>
                <w:rFonts w:ascii="Cambria" w:eastAsia="SimSun" w:hAnsi="Cambria" w:cs="Times New Roman"/>
                <w:i/>
                <w:sz w:val="22"/>
                <w:szCs w:val="22"/>
              </w:rPr>
              <w:t>R</w:t>
            </w:r>
          </w:p>
        </w:tc>
        <w:tc>
          <w:tcPr>
            <w:tcW w:w="1016" w:type="dxa"/>
            <w:tcBorders>
              <w:top w:val="single" w:sz="4" w:space="0" w:color="auto"/>
              <w:left w:val="nil"/>
              <w:bottom w:val="single" w:sz="4" w:space="0" w:color="auto"/>
              <w:right w:val="nil"/>
            </w:tcBorders>
            <w:vAlign w:val="center"/>
          </w:tcPr>
          <w:p w14:paraId="242FD350" w14:textId="77777777" w:rsidR="00A26BEC" w:rsidRPr="00913159" w:rsidRDefault="00A26BEC" w:rsidP="00885CED">
            <w:pPr>
              <w:adjustRightInd w:val="0"/>
              <w:spacing w:line="276" w:lineRule="auto"/>
              <w:ind w:left="60" w:right="60"/>
              <w:jc w:val="center"/>
              <w:rPr>
                <w:rFonts w:ascii="Cambria" w:eastAsia="SimSun" w:hAnsi="Cambria" w:cs="Times New Roman"/>
                <w:i/>
                <w:sz w:val="22"/>
                <w:szCs w:val="22"/>
              </w:rPr>
            </w:pPr>
            <w:r w:rsidRPr="00913159">
              <w:rPr>
                <w:rFonts w:ascii="Cambria" w:eastAsia="SimSun" w:hAnsi="Cambria" w:cs="Times New Roman"/>
                <w:i/>
                <w:sz w:val="22"/>
                <w:szCs w:val="22"/>
              </w:rPr>
              <w:t>R Square</w:t>
            </w:r>
          </w:p>
        </w:tc>
        <w:tc>
          <w:tcPr>
            <w:tcW w:w="1499" w:type="dxa"/>
            <w:tcBorders>
              <w:top w:val="single" w:sz="4" w:space="0" w:color="auto"/>
              <w:left w:val="nil"/>
              <w:bottom w:val="single" w:sz="4" w:space="0" w:color="auto"/>
              <w:right w:val="nil"/>
            </w:tcBorders>
            <w:vAlign w:val="center"/>
          </w:tcPr>
          <w:p w14:paraId="59CA6673" w14:textId="77777777" w:rsidR="00A26BEC" w:rsidRPr="00913159" w:rsidRDefault="00A26BEC" w:rsidP="00885CED">
            <w:pPr>
              <w:adjustRightInd w:val="0"/>
              <w:spacing w:line="276" w:lineRule="auto"/>
              <w:ind w:left="60" w:right="60"/>
              <w:jc w:val="center"/>
              <w:rPr>
                <w:rFonts w:ascii="Cambria" w:eastAsia="SimSun" w:hAnsi="Cambria" w:cs="Times New Roman"/>
                <w:i/>
                <w:sz w:val="22"/>
                <w:szCs w:val="22"/>
              </w:rPr>
            </w:pPr>
            <w:r w:rsidRPr="00913159">
              <w:rPr>
                <w:rFonts w:ascii="Cambria" w:eastAsia="SimSun" w:hAnsi="Cambria" w:cs="Times New Roman"/>
                <w:i/>
                <w:sz w:val="22"/>
                <w:szCs w:val="22"/>
              </w:rPr>
              <w:t>Adjusted R Square</w:t>
            </w:r>
          </w:p>
        </w:tc>
        <w:tc>
          <w:tcPr>
            <w:tcW w:w="1980" w:type="dxa"/>
            <w:tcBorders>
              <w:top w:val="single" w:sz="4" w:space="0" w:color="auto"/>
              <w:left w:val="nil"/>
              <w:bottom w:val="single" w:sz="4" w:space="0" w:color="auto"/>
              <w:right w:val="nil"/>
            </w:tcBorders>
            <w:vAlign w:val="center"/>
          </w:tcPr>
          <w:p w14:paraId="44C92112" w14:textId="77777777" w:rsidR="00A26BEC" w:rsidRPr="00913159" w:rsidRDefault="00A26BEC" w:rsidP="00885CED">
            <w:pPr>
              <w:adjustRightInd w:val="0"/>
              <w:spacing w:line="276" w:lineRule="auto"/>
              <w:ind w:left="60" w:right="60"/>
              <w:jc w:val="center"/>
              <w:rPr>
                <w:rFonts w:ascii="Cambria" w:eastAsia="SimSun" w:hAnsi="Cambria" w:cs="Times New Roman"/>
                <w:i/>
                <w:sz w:val="22"/>
                <w:szCs w:val="22"/>
              </w:rPr>
            </w:pPr>
            <w:r w:rsidRPr="00913159">
              <w:rPr>
                <w:rFonts w:ascii="Cambria" w:eastAsia="SimSun" w:hAnsi="Cambria" w:cs="Times New Roman"/>
                <w:i/>
                <w:sz w:val="22"/>
                <w:szCs w:val="22"/>
              </w:rPr>
              <w:t>Standard Error of the Estimate</w:t>
            </w:r>
          </w:p>
        </w:tc>
      </w:tr>
      <w:tr w:rsidR="00913159" w:rsidRPr="00913159" w14:paraId="3BF9BB5A" w14:textId="77777777" w:rsidTr="0073632C">
        <w:trPr>
          <w:jc w:val="center"/>
        </w:trPr>
        <w:tc>
          <w:tcPr>
            <w:tcW w:w="1008" w:type="dxa"/>
            <w:tcBorders>
              <w:top w:val="single" w:sz="4" w:space="0" w:color="auto"/>
              <w:left w:val="nil"/>
              <w:bottom w:val="single" w:sz="4" w:space="0" w:color="auto"/>
              <w:right w:val="nil"/>
            </w:tcBorders>
            <w:vAlign w:val="center"/>
          </w:tcPr>
          <w:p w14:paraId="5A9519A5" w14:textId="77777777" w:rsidR="00A26BEC" w:rsidRPr="00913159" w:rsidRDefault="00A26BE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1</w:t>
            </w:r>
          </w:p>
        </w:tc>
        <w:tc>
          <w:tcPr>
            <w:tcW w:w="876" w:type="dxa"/>
            <w:tcBorders>
              <w:top w:val="single" w:sz="4" w:space="0" w:color="auto"/>
              <w:left w:val="nil"/>
              <w:bottom w:val="single" w:sz="4" w:space="0" w:color="auto"/>
              <w:right w:val="nil"/>
            </w:tcBorders>
          </w:tcPr>
          <w:p w14:paraId="2505B6DE" w14:textId="77777777" w:rsidR="00A26BEC" w:rsidRPr="00913159" w:rsidRDefault="00A26BE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0.716</w:t>
            </w:r>
          </w:p>
        </w:tc>
        <w:tc>
          <w:tcPr>
            <w:tcW w:w="1016" w:type="dxa"/>
            <w:tcBorders>
              <w:top w:val="single" w:sz="4" w:space="0" w:color="auto"/>
              <w:left w:val="nil"/>
              <w:bottom w:val="single" w:sz="4" w:space="0" w:color="auto"/>
              <w:right w:val="nil"/>
            </w:tcBorders>
          </w:tcPr>
          <w:p w14:paraId="67453A03" w14:textId="77777777" w:rsidR="00A26BEC" w:rsidRPr="00913159" w:rsidRDefault="00A26BE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0.512</w:t>
            </w:r>
          </w:p>
        </w:tc>
        <w:tc>
          <w:tcPr>
            <w:tcW w:w="1499" w:type="dxa"/>
            <w:tcBorders>
              <w:top w:val="single" w:sz="4" w:space="0" w:color="auto"/>
              <w:left w:val="nil"/>
              <w:bottom w:val="single" w:sz="4" w:space="0" w:color="auto"/>
              <w:right w:val="nil"/>
            </w:tcBorders>
          </w:tcPr>
          <w:p w14:paraId="65CF7D59" w14:textId="77777777" w:rsidR="00A26BEC" w:rsidRPr="00913159" w:rsidRDefault="00A26BE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0.495</w:t>
            </w:r>
          </w:p>
        </w:tc>
        <w:tc>
          <w:tcPr>
            <w:tcW w:w="1980" w:type="dxa"/>
            <w:tcBorders>
              <w:top w:val="single" w:sz="4" w:space="0" w:color="auto"/>
              <w:left w:val="nil"/>
              <w:bottom w:val="single" w:sz="4" w:space="0" w:color="auto"/>
              <w:right w:val="nil"/>
            </w:tcBorders>
            <w:vAlign w:val="center"/>
          </w:tcPr>
          <w:p w14:paraId="6408ADA0" w14:textId="77777777" w:rsidR="00A26BEC" w:rsidRPr="00913159" w:rsidRDefault="00A26BEC" w:rsidP="00885CED">
            <w:pPr>
              <w:adjustRightInd w:val="0"/>
              <w:spacing w:line="276" w:lineRule="auto"/>
              <w:ind w:left="60" w:right="60"/>
              <w:jc w:val="center"/>
              <w:rPr>
                <w:rFonts w:ascii="Cambria" w:eastAsia="SimSun" w:hAnsi="Cambria" w:cs="Times New Roman"/>
                <w:sz w:val="22"/>
                <w:szCs w:val="22"/>
              </w:rPr>
            </w:pPr>
            <w:r w:rsidRPr="00913159">
              <w:rPr>
                <w:rFonts w:ascii="Cambria" w:eastAsia="SimSun" w:hAnsi="Cambria" w:cs="Times New Roman"/>
                <w:sz w:val="22"/>
                <w:szCs w:val="22"/>
              </w:rPr>
              <w:t>1,603</w:t>
            </w:r>
          </w:p>
        </w:tc>
      </w:tr>
    </w:tbl>
    <w:p w14:paraId="76953892" w14:textId="77777777" w:rsidR="00A26BEC" w:rsidRPr="00913159" w:rsidRDefault="00A26BEC" w:rsidP="00885CED">
      <w:pPr>
        <w:spacing w:after="0" w:line="276" w:lineRule="auto"/>
        <w:ind w:left="900"/>
        <w:contextualSpacing/>
        <w:outlineLvl w:val="1"/>
        <w:rPr>
          <w:rFonts w:ascii="Cambria" w:eastAsia="SimSun" w:hAnsi="Cambria" w:cs="Times New Roman"/>
          <w:lang w:val="sv-SE"/>
        </w:rPr>
      </w:pPr>
      <w:r w:rsidRPr="00913159">
        <w:rPr>
          <w:rFonts w:ascii="Cambria" w:eastAsia="SimSun" w:hAnsi="Cambria" w:cs="Times New Roman"/>
          <w:lang w:val="sv-SE"/>
        </w:rPr>
        <w:t>Source: Appendix VIII</w:t>
      </w:r>
    </w:p>
    <w:p w14:paraId="55A820D0" w14:textId="77777777" w:rsidR="00E76B78" w:rsidRPr="00913159" w:rsidRDefault="00A26BEC" w:rsidP="00885CED">
      <w:pPr>
        <w:spacing w:after="0" w:line="276" w:lineRule="auto"/>
        <w:ind w:left="450" w:firstLine="450"/>
        <w:contextualSpacing/>
        <w:jc w:val="both"/>
        <w:outlineLvl w:val="1"/>
        <w:rPr>
          <w:rFonts w:ascii="Cambria" w:eastAsia="SimSun" w:hAnsi="Cambria" w:cs="Times New Roman"/>
          <w:lang w:val="id-ID"/>
        </w:rPr>
      </w:pPr>
      <w:r w:rsidRPr="00913159">
        <w:rPr>
          <w:rFonts w:ascii="Cambria" w:eastAsia="SimSun" w:hAnsi="Cambria" w:cs="Times New Roman"/>
          <w:lang w:val="id-ID"/>
        </w:rPr>
        <w:t>Based on the calculation results, the adjusted R square value was 0.495. This means that the variables Service Response Time, Officer Competence, Health Facilities, and Complaint Handling contributed 49.5% to Patient Loyalty, while the remaining 50.5% was explained by other variables not included in this study.</w:t>
      </w:r>
    </w:p>
    <w:p w14:paraId="2DFFBB6F" w14:textId="77777777" w:rsidR="00E76B78" w:rsidRPr="00913159" w:rsidRDefault="00E76B78" w:rsidP="00885CED">
      <w:pPr>
        <w:spacing w:after="0" w:line="276" w:lineRule="auto"/>
        <w:contextualSpacing/>
        <w:jc w:val="both"/>
        <w:outlineLvl w:val="1"/>
        <w:rPr>
          <w:rFonts w:ascii="Cambria" w:eastAsia="SimSun" w:hAnsi="Cambria" w:cs="Times New Roman"/>
          <w:lang w:val="id-ID"/>
        </w:rPr>
      </w:pPr>
    </w:p>
    <w:p w14:paraId="4D1D37A9" w14:textId="77777777" w:rsidR="00885CED" w:rsidRDefault="00885CED" w:rsidP="00885CED">
      <w:pPr>
        <w:spacing w:after="0" w:line="276" w:lineRule="auto"/>
        <w:contextualSpacing/>
        <w:jc w:val="both"/>
        <w:outlineLvl w:val="1"/>
        <w:rPr>
          <w:rFonts w:ascii="Cambria" w:eastAsia="SimSun" w:hAnsi="Cambria" w:cs="Times New Roman"/>
          <w:b/>
        </w:rPr>
      </w:pPr>
    </w:p>
    <w:p w14:paraId="49EB0EEF" w14:textId="77777777" w:rsidR="00885CED" w:rsidRDefault="00885CED" w:rsidP="00885CED">
      <w:pPr>
        <w:spacing w:after="0" w:line="276" w:lineRule="auto"/>
        <w:contextualSpacing/>
        <w:jc w:val="both"/>
        <w:outlineLvl w:val="1"/>
        <w:rPr>
          <w:rFonts w:ascii="Cambria" w:eastAsia="SimSun" w:hAnsi="Cambria" w:cs="Times New Roman"/>
          <w:b/>
        </w:rPr>
      </w:pPr>
    </w:p>
    <w:p w14:paraId="46C64C11" w14:textId="74ED2D2D" w:rsidR="00A26BEC" w:rsidRPr="00913159" w:rsidRDefault="00E76B78" w:rsidP="00885CED">
      <w:pPr>
        <w:spacing w:after="0" w:line="276" w:lineRule="auto"/>
        <w:contextualSpacing/>
        <w:jc w:val="both"/>
        <w:outlineLvl w:val="1"/>
        <w:rPr>
          <w:rFonts w:ascii="Cambria" w:eastAsia="SimSun" w:hAnsi="Cambria" w:cs="Times New Roman"/>
          <w:lang w:val="id-ID"/>
        </w:rPr>
      </w:pPr>
      <w:r w:rsidRPr="00913159">
        <w:rPr>
          <w:rFonts w:ascii="Cambria" w:eastAsia="SimSun" w:hAnsi="Cambria" w:cs="Times New Roman"/>
          <w:b/>
        </w:rPr>
        <w:lastRenderedPageBreak/>
        <w:t>DISCUSSION</w:t>
      </w:r>
    </w:p>
    <w:p w14:paraId="4061119A" w14:textId="77777777" w:rsidR="00A26BEC" w:rsidRPr="00913159" w:rsidRDefault="00A26BEC" w:rsidP="00885CED">
      <w:pPr>
        <w:pStyle w:val="ListParagraph"/>
        <w:numPr>
          <w:ilvl w:val="0"/>
          <w:numId w:val="42"/>
        </w:numPr>
        <w:spacing w:after="0"/>
        <w:ind w:left="360" w:right="84"/>
        <w:jc w:val="both"/>
        <w:rPr>
          <w:rFonts w:ascii="Cambria" w:hAnsi="Cambria" w:cs="Times New Roman"/>
          <w:lang w:val="en-ID"/>
        </w:rPr>
      </w:pPr>
      <w:r w:rsidRPr="00913159">
        <w:rPr>
          <w:rFonts w:ascii="Cambria" w:hAnsi="Cambria" w:cs="Times New Roman"/>
          <w:lang w:val="en-ID"/>
        </w:rPr>
        <w:t xml:space="preserve">The Influence of Service Response Time on Patient Loyalty at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  </w:t>
      </w:r>
    </w:p>
    <w:p w14:paraId="66ED0A39" w14:textId="77777777" w:rsidR="00A26BEC" w:rsidRPr="00913159" w:rsidRDefault="00A26BEC" w:rsidP="00885CED">
      <w:pPr>
        <w:pStyle w:val="ListParagraph"/>
        <w:spacing w:after="0"/>
        <w:ind w:left="360" w:right="84" w:firstLine="491"/>
        <w:jc w:val="both"/>
        <w:rPr>
          <w:rFonts w:ascii="Cambria" w:hAnsi="Cambria" w:cs="Times New Roman"/>
          <w:lang w:val="en-ID"/>
        </w:rPr>
      </w:pPr>
      <w:r w:rsidRPr="00913159">
        <w:rPr>
          <w:rFonts w:ascii="Cambria" w:hAnsi="Cambria" w:cs="Times New Roman"/>
          <w:lang w:val="en-ID"/>
        </w:rPr>
        <w:t xml:space="preserve">Based on the test results presented in Table IV.10, it </w:t>
      </w:r>
      <w:proofErr w:type="spellStart"/>
      <w:r w:rsidRPr="00913159">
        <w:rPr>
          <w:rFonts w:ascii="Cambria" w:hAnsi="Cambria" w:cs="Times New Roman"/>
          <w:lang w:val="en-ID"/>
        </w:rPr>
        <w:t>shows</w:t>
      </w:r>
      <w:r w:rsidRPr="00913159">
        <w:rPr>
          <w:rFonts w:ascii="Cambria" w:eastAsia="Times New Roman" w:hAnsi="Cambria" w:cs="Times New Roman"/>
          <w:lang w:val="en-ID"/>
        </w:rPr>
        <w:t>The</w:t>
      </w:r>
      <w:proofErr w:type="spellEnd"/>
      <w:r w:rsidRPr="00913159">
        <w:rPr>
          <w:rFonts w:ascii="Cambria" w:eastAsia="Times New Roman" w:hAnsi="Cambria" w:cs="Times New Roman"/>
          <w:lang w:val="en-ID"/>
        </w:rPr>
        <w:t xml:space="preserve"> Service Response Time variable has a </w:t>
      </w:r>
      <w:proofErr w:type="spellStart"/>
      <w:r w:rsidRPr="00913159">
        <w:rPr>
          <w:rFonts w:ascii="Cambria" w:eastAsia="Times New Roman" w:hAnsi="Cambria" w:cs="Times New Roman"/>
          <w:lang w:val="en-ID"/>
        </w:rPr>
        <w:t>value</w:t>
      </w:r>
      <w:r w:rsidRPr="00913159">
        <w:rPr>
          <w:rFonts w:ascii="Cambria" w:hAnsi="Cambria" w:cs="Times New Roman"/>
          <w:lang w:val="en-ID"/>
        </w:rPr>
        <w:t>thitung</w:t>
      </w:r>
      <w:proofErr w:type="spellEnd"/>
      <w:r w:rsidRPr="00913159">
        <w:rPr>
          <w:rFonts w:ascii="Cambria" w:eastAsia="Times New Roman" w:hAnsi="Cambria" w:cs="Times New Roman"/>
          <w:lang w:val="en-ID"/>
        </w:rPr>
        <w:t>&gt;</w:t>
      </w:r>
      <w:proofErr w:type="gramStart"/>
      <w:r w:rsidRPr="00913159">
        <w:rPr>
          <w:rFonts w:ascii="Cambria" w:hAnsi="Cambria" w:cs="Times New Roman"/>
          <w:lang w:val="en-ID"/>
        </w:rPr>
        <w:t>table</w:t>
      </w:r>
      <w:r w:rsidRPr="00913159">
        <w:rPr>
          <w:rFonts w:ascii="Cambria" w:eastAsia="Times New Roman" w:hAnsi="Cambria" w:cs="Times New Roman"/>
          <w:lang w:val="en-ID"/>
        </w:rPr>
        <w:t>(</w:t>
      </w:r>
      <w:proofErr w:type="gramEnd"/>
      <w:r w:rsidRPr="00913159">
        <w:rPr>
          <w:rFonts w:ascii="Cambria" w:eastAsia="Times New Roman" w:hAnsi="Cambria" w:cs="Times New Roman"/>
          <w:lang w:val="en-ID"/>
        </w:rPr>
        <w:t>3,519 &gt;</w:t>
      </w:r>
      <w:r w:rsidRPr="00913159">
        <w:rPr>
          <w:rFonts w:ascii="Cambria" w:hAnsi="Cambria" w:cs="Times New Roman"/>
          <w:lang w:val="en-ID"/>
        </w:rPr>
        <w:t>1,657</w:t>
      </w:r>
      <w:r w:rsidRPr="00913159">
        <w:rPr>
          <w:rFonts w:ascii="Cambria" w:eastAsia="Times New Roman" w:hAnsi="Cambria" w:cs="Times New Roman"/>
          <w:lang w:val="en-ID"/>
        </w:rPr>
        <w:t>) and significance 0.001 &lt; 0.05 then Ho is rejected and Ha is accepted. It can be concluded that there is a positive and significant influence on Service Response Time</w:t>
      </w:r>
      <w:bookmarkStart w:id="2" w:name="_Hlk229375195"/>
      <w:bookmarkStart w:id="3" w:name="_Hlk228850319"/>
      <w:r w:rsidRPr="00913159">
        <w:rPr>
          <w:rFonts w:ascii="Cambria" w:hAnsi="Cambria" w:cs="Times New Roman"/>
          <w:lang w:val="en-ID"/>
        </w:rPr>
        <w:t xml:space="preserve">on Patient Loyalty at the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w:t>
      </w:r>
    </w:p>
    <w:p w14:paraId="2EAE1F46" w14:textId="77777777" w:rsidR="00A26BEC" w:rsidRPr="00913159" w:rsidRDefault="00A26BEC" w:rsidP="00885CED">
      <w:pPr>
        <w:pStyle w:val="ListParagraph"/>
        <w:spacing w:after="0"/>
        <w:ind w:left="360" w:right="84" w:firstLine="491"/>
        <w:jc w:val="both"/>
        <w:rPr>
          <w:rFonts w:ascii="Cambria" w:hAnsi="Cambria" w:cs="Times New Roman"/>
          <w:lang w:val="en-ID"/>
        </w:rPr>
      </w:pPr>
      <w:bookmarkStart w:id="4" w:name="_Hlk228850461"/>
      <w:bookmarkEnd w:id="2"/>
      <w:bookmarkEnd w:id="3"/>
      <w:r w:rsidRPr="00913159">
        <w:rPr>
          <w:rFonts w:ascii="Cambria" w:hAnsi="Cambria" w:cs="Times New Roman"/>
          <w:lang w:val="en-ID"/>
        </w:rPr>
        <w:t xml:space="preserve">These results align with research by Lusiana et al. (2022), which found that response time significantly impacts patient loyalty at the West Sumatra Pulmonary Hospital Polyclinic. Researcher Jadee Amartya Putri Wiranata (2024) confirmed that response time has a positive and significant impact on patient loyalty at a Type B hospital in Jakarta. Theoretically, the distance between response time and examination time is estimated to increase patient loyalty (Bustani 2015: 138).   </w:t>
      </w:r>
      <w:bookmarkStart w:id="5" w:name="_Hlk228854183"/>
      <w:bookmarkStart w:id="6" w:name="_Hlk229381472"/>
      <w:bookmarkEnd w:id="4"/>
    </w:p>
    <w:bookmarkEnd w:id="5"/>
    <w:bookmarkEnd w:id="6"/>
    <w:p w14:paraId="68F28FDA" w14:textId="77777777" w:rsidR="00A26BEC" w:rsidRPr="00913159" w:rsidRDefault="00A26BEC" w:rsidP="00885CED">
      <w:pPr>
        <w:spacing w:after="0" w:line="276" w:lineRule="auto"/>
        <w:ind w:left="360" w:right="84" w:hanging="360"/>
        <w:jc w:val="both"/>
        <w:rPr>
          <w:rFonts w:ascii="Cambria" w:hAnsi="Cambria" w:cs="Times New Roman"/>
          <w:lang w:val="en-ID"/>
        </w:rPr>
      </w:pPr>
      <w:r w:rsidRPr="00913159">
        <w:rPr>
          <w:rFonts w:ascii="Cambria" w:hAnsi="Cambria" w:cs="Times New Roman"/>
          <w:lang w:val="en-ID"/>
        </w:rPr>
        <w:t xml:space="preserve">2. The Influence of Officer Competence on Patient Loyalty at the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   </w:t>
      </w:r>
    </w:p>
    <w:p w14:paraId="3C858CB7" w14:textId="77777777" w:rsidR="00A26BEC" w:rsidRPr="00913159" w:rsidRDefault="00A26BEC" w:rsidP="00885CED">
      <w:pPr>
        <w:spacing w:after="0" w:line="276" w:lineRule="auto"/>
        <w:ind w:left="360" w:right="84" w:firstLine="491"/>
        <w:jc w:val="both"/>
        <w:rPr>
          <w:rFonts w:ascii="Cambria" w:hAnsi="Cambria" w:cs="Times New Roman"/>
          <w:lang w:val="en-ID"/>
        </w:rPr>
      </w:pPr>
      <w:r w:rsidRPr="00913159">
        <w:rPr>
          <w:rFonts w:ascii="Cambria" w:hAnsi="Cambria" w:cs="Times New Roman"/>
          <w:lang w:val="en-ID"/>
        </w:rPr>
        <w:t xml:space="preserve">Based on the test presented in Table IV.10, it shows that the Officer Competence Variable has a t-value &gt; t-table (3.107 &gt; 1.657) and a significance of 0.015 &lt; 0.05, so Ho is rejected and Ha is accepted. It can be concluded that there is a positive and significant influence of Officer Competence on Patient Loyalty at the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w:t>
      </w:r>
      <w:bookmarkStart w:id="7" w:name="_Hlk228850789"/>
      <w:bookmarkStart w:id="8" w:name="_Hlk228848962"/>
    </w:p>
    <w:p w14:paraId="6A741F3F" w14:textId="77777777" w:rsidR="00A26BEC" w:rsidRPr="00913159" w:rsidRDefault="00A26BEC" w:rsidP="00885CED">
      <w:pPr>
        <w:spacing w:after="0" w:line="276" w:lineRule="auto"/>
        <w:ind w:left="360" w:right="84" w:firstLine="491"/>
        <w:jc w:val="both"/>
        <w:rPr>
          <w:rFonts w:ascii="Cambria" w:hAnsi="Cambria" w:cs="Times New Roman"/>
          <w:lang w:val="en-ID"/>
        </w:rPr>
      </w:pPr>
      <w:bookmarkStart w:id="9" w:name="_Hlk229381912"/>
      <w:bookmarkStart w:id="10" w:name="_Hlk229381667"/>
      <w:bookmarkStart w:id="11" w:name="_Hlk228850894"/>
      <w:bookmarkEnd w:id="7"/>
      <w:r w:rsidRPr="00913159">
        <w:rPr>
          <w:rFonts w:ascii="Cambria" w:hAnsi="Cambria" w:cs="Times New Roman"/>
          <w:lang w:val="en-ID"/>
        </w:rPr>
        <w:t xml:space="preserve">These results are in line with </w:t>
      </w:r>
      <w:proofErr w:type="spellStart"/>
      <w:r w:rsidRPr="00913159">
        <w:rPr>
          <w:rFonts w:ascii="Cambria" w:hAnsi="Cambria" w:cs="Times New Roman"/>
          <w:lang w:val="en-ID"/>
        </w:rPr>
        <w:t>Susianta</w:t>
      </w:r>
      <w:proofErr w:type="spellEnd"/>
      <w:r w:rsidRPr="00913159">
        <w:rPr>
          <w:rFonts w:ascii="Cambria" w:hAnsi="Cambria" w:cs="Times New Roman"/>
          <w:lang w:val="en-ID"/>
        </w:rPr>
        <w:t xml:space="preserve">, (2021) who found that nurse competence has a contribution to patient loyalty, Citra Medika </w:t>
      </w:r>
      <w:proofErr w:type="spellStart"/>
      <w:r w:rsidRPr="00913159">
        <w:rPr>
          <w:rFonts w:ascii="Cambria" w:hAnsi="Cambria" w:cs="Times New Roman"/>
          <w:lang w:val="en-ID"/>
        </w:rPr>
        <w:t>Sidoarjo</w:t>
      </w:r>
      <w:proofErr w:type="spellEnd"/>
      <w:r w:rsidRPr="00913159">
        <w:rPr>
          <w:rFonts w:ascii="Cambria" w:hAnsi="Cambria" w:cs="Times New Roman"/>
          <w:lang w:val="en-ID"/>
        </w:rPr>
        <w:t xml:space="preserve"> General Hospital. Researchers Kintan Utami, Wani Devita Gunardi, Eka Desi Purnama (2025) also strengthen the positive competence of officers towards patient loyalty in the Emergency Room of Bhayangkara Hospital Pontianak.</w:t>
      </w:r>
      <w:bookmarkStart w:id="12" w:name="_Hlk228852814"/>
      <w:bookmarkStart w:id="13" w:name="_Hlk228853058"/>
    </w:p>
    <w:bookmarkEnd w:id="9"/>
    <w:p w14:paraId="03DF9AC4" w14:textId="77777777" w:rsidR="00A26BEC" w:rsidRPr="00913159" w:rsidRDefault="00A26BEC" w:rsidP="00885CED">
      <w:pPr>
        <w:spacing w:after="0" w:line="276" w:lineRule="auto"/>
        <w:ind w:left="360" w:right="84" w:firstLine="491"/>
        <w:jc w:val="both"/>
        <w:rPr>
          <w:rFonts w:ascii="Cambria" w:hAnsi="Cambria" w:cs="Times New Roman"/>
          <w:lang w:val="en-ID"/>
        </w:rPr>
      </w:pPr>
      <w:r w:rsidRPr="00913159">
        <w:rPr>
          <w:rFonts w:ascii="Cambria" w:hAnsi="Cambria" w:cs="Times New Roman"/>
          <w:lang w:val="en-ID"/>
        </w:rPr>
        <w:t>Theoretically, the research defines health service competency as the ability of health workers, encompassing the combination of knowledge, skills, experience, and attitudes necessary to provide quality health services to the community or patients. Knowledge and experience are crucial in solving problems. Service competency has a positive impact on patient loyalty (</w:t>
      </w:r>
      <w:proofErr w:type="spellStart"/>
      <w:r w:rsidRPr="00913159">
        <w:rPr>
          <w:rFonts w:ascii="Cambria" w:hAnsi="Cambria" w:cs="Times New Roman"/>
          <w:lang w:val="en-ID"/>
        </w:rPr>
        <w:t>Sasanti</w:t>
      </w:r>
      <w:proofErr w:type="spellEnd"/>
      <w:r w:rsidRPr="00913159">
        <w:rPr>
          <w:rFonts w:ascii="Cambria" w:hAnsi="Cambria" w:cs="Times New Roman"/>
          <w:lang w:val="en-ID"/>
        </w:rPr>
        <w:t>, 2021).</w:t>
      </w:r>
      <w:bookmarkStart w:id="14" w:name="_Hlk229382023"/>
      <w:bookmarkEnd w:id="10"/>
      <w:bookmarkEnd w:id="12"/>
      <w:bookmarkEnd w:id="13"/>
    </w:p>
    <w:bookmarkEnd w:id="8"/>
    <w:bookmarkEnd w:id="11"/>
    <w:bookmarkEnd w:id="14"/>
    <w:p w14:paraId="344113BE" w14:textId="77777777" w:rsidR="00A26BEC" w:rsidRPr="00913159" w:rsidRDefault="00A26BEC" w:rsidP="00885CED">
      <w:pPr>
        <w:spacing w:after="0" w:line="276" w:lineRule="auto"/>
        <w:ind w:left="360" w:right="84" w:hanging="360"/>
        <w:jc w:val="both"/>
        <w:rPr>
          <w:rFonts w:ascii="Cambria" w:hAnsi="Cambria" w:cs="Times New Roman"/>
          <w:lang w:val="en-ID"/>
        </w:rPr>
      </w:pPr>
      <w:r w:rsidRPr="00913159">
        <w:rPr>
          <w:rFonts w:ascii="Cambria" w:hAnsi="Cambria" w:cs="Times New Roman"/>
          <w:lang w:val="en-ID"/>
        </w:rPr>
        <w:t xml:space="preserve">3. The Influence of Health Facilities on Patient Loyalty at the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  </w:t>
      </w:r>
    </w:p>
    <w:p w14:paraId="3F9F1EE3" w14:textId="77777777" w:rsidR="00A26BEC" w:rsidRPr="00913159" w:rsidRDefault="00A26BEC" w:rsidP="00885CED">
      <w:pPr>
        <w:spacing w:after="0" w:line="276" w:lineRule="auto"/>
        <w:ind w:left="284" w:right="84" w:firstLine="567"/>
        <w:jc w:val="both"/>
        <w:rPr>
          <w:rFonts w:ascii="Cambria" w:hAnsi="Cambria" w:cs="Times New Roman"/>
          <w:lang w:val="en-ID"/>
        </w:rPr>
      </w:pPr>
      <w:r w:rsidRPr="00913159">
        <w:rPr>
          <w:rFonts w:ascii="Cambria" w:hAnsi="Cambria" w:cs="Times New Roman"/>
          <w:lang w:val="en-ID"/>
        </w:rPr>
        <w:t xml:space="preserve">Based on the test presented in Table IV.10, it shows that the Health Facilities Variable has a calculated t value &gt; t table (1.865 &gt; 1.657) and a significance of 0.045 &lt; 0.05, so Ho is rejected and Ha is accepted. It can be concluded that there is a positive and significant influence of Health Facilities on Patient Loyalty at the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w:t>
      </w:r>
      <w:bookmarkStart w:id="15" w:name="_Hlk228849086"/>
    </w:p>
    <w:p w14:paraId="5670D383" w14:textId="77777777" w:rsidR="00A26BEC" w:rsidRPr="00913159" w:rsidRDefault="00A26BEC" w:rsidP="00885CED">
      <w:pPr>
        <w:spacing w:after="0" w:line="276" w:lineRule="auto"/>
        <w:ind w:left="284" w:right="84" w:firstLine="567"/>
        <w:jc w:val="both"/>
        <w:rPr>
          <w:rFonts w:ascii="Cambria" w:hAnsi="Cambria" w:cs="Times New Roman"/>
          <w:lang w:val="en-ID"/>
        </w:rPr>
      </w:pPr>
      <w:bookmarkStart w:id="16" w:name="_Hlk229382135"/>
      <w:bookmarkStart w:id="17" w:name="_Hlk228849188"/>
      <w:bookmarkEnd w:id="15"/>
      <w:r w:rsidRPr="00913159">
        <w:rPr>
          <w:rFonts w:ascii="Cambria" w:hAnsi="Cambria" w:cs="Times New Roman"/>
          <w:lang w:val="en-ID"/>
        </w:rPr>
        <w:t xml:space="preserve">These results align with research by </w:t>
      </w:r>
      <w:proofErr w:type="spellStart"/>
      <w:r w:rsidRPr="00913159">
        <w:rPr>
          <w:rFonts w:ascii="Cambria" w:hAnsi="Cambria" w:cs="Times New Roman"/>
          <w:lang w:val="en-ID"/>
        </w:rPr>
        <w:t>Misnawati</w:t>
      </w:r>
      <w:proofErr w:type="spellEnd"/>
      <w:r w:rsidRPr="00913159">
        <w:rPr>
          <w:rFonts w:ascii="Cambria" w:hAnsi="Cambria" w:cs="Times New Roman"/>
          <w:lang w:val="en-ID"/>
        </w:rPr>
        <w:t xml:space="preserve"> et al. (2021), which found that healthcare facilities influence patient loyalty. Researchers Fitriani, </w:t>
      </w:r>
      <w:proofErr w:type="spellStart"/>
      <w:r w:rsidRPr="00913159">
        <w:rPr>
          <w:rFonts w:ascii="Cambria" w:hAnsi="Cambria" w:cs="Times New Roman"/>
          <w:lang w:val="en-ID"/>
        </w:rPr>
        <w:t>Guspianto</w:t>
      </w:r>
      <w:proofErr w:type="spellEnd"/>
      <w:r w:rsidRPr="00913159">
        <w:rPr>
          <w:rFonts w:ascii="Cambria" w:hAnsi="Cambria" w:cs="Times New Roman"/>
          <w:lang w:val="en-ID"/>
        </w:rPr>
        <w:t xml:space="preserve">, and Dwi </w:t>
      </w:r>
      <w:proofErr w:type="spellStart"/>
      <w:r w:rsidRPr="00913159">
        <w:rPr>
          <w:rFonts w:ascii="Cambria" w:hAnsi="Cambria" w:cs="Times New Roman"/>
          <w:lang w:val="en-ID"/>
        </w:rPr>
        <w:t>Noerjoedianto</w:t>
      </w:r>
      <w:proofErr w:type="spellEnd"/>
      <w:r w:rsidRPr="00913159">
        <w:rPr>
          <w:rFonts w:ascii="Cambria" w:hAnsi="Cambria" w:cs="Times New Roman"/>
          <w:lang w:val="en-ID"/>
        </w:rPr>
        <w:t xml:space="preserve"> (2020) also confirmed the influence of </w:t>
      </w:r>
      <w:r w:rsidRPr="00913159">
        <w:rPr>
          <w:rFonts w:ascii="Cambria" w:hAnsi="Cambria" w:cs="Times New Roman"/>
          <w:lang w:val="en-ID"/>
        </w:rPr>
        <w:lastRenderedPageBreak/>
        <w:t xml:space="preserve">healthcare facilities on patient loyalty at the </w:t>
      </w:r>
      <w:proofErr w:type="spellStart"/>
      <w:r w:rsidRPr="00913159">
        <w:rPr>
          <w:rFonts w:ascii="Cambria" w:hAnsi="Cambria" w:cs="Times New Roman"/>
          <w:lang w:val="en-ID"/>
        </w:rPr>
        <w:t>Simpang</w:t>
      </w:r>
      <w:proofErr w:type="spellEnd"/>
      <w:r w:rsidRPr="00913159">
        <w:rPr>
          <w:rFonts w:ascii="Cambria" w:hAnsi="Cambria" w:cs="Times New Roman"/>
          <w:lang w:val="en-ID"/>
        </w:rPr>
        <w:t xml:space="preserve"> IV Sipin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Theoretically, good facilities impact a consistently satisfying patient experience. Healthcare facilities can be developed as a relevant way to increase patient loyalty (</w:t>
      </w:r>
      <w:proofErr w:type="spellStart"/>
      <w:r w:rsidRPr="00913159">
        <w:rPr>
          <w:rFonts w:ascii="Cambria" w:hAnsi="Cambria" w:cs="Times New Roman"/>
          <w:lang w:val="en-ID"/>
        </w:rPr>
        <w:t>Mufriza</w:t>
      </w:r>
      <w:proofErr w:type="spellEnd"/>
      <w:r w:rsidRPr="00913159">
        <w:rPr>
          <w:rFonts w:ascii="Cambria" w:hAnsi="Cambria" w:cs="Times New Roman"/>
          <w:lang w:val="en-ID"/>
        </w:rPr>
        <w:t>, M, 2021).</w:t>
      </w:r>
      <w:bookmarkEnd w:id="16"/>
    </w:p>
    <w:bookmarkEnd w:id="17"/>
    <w:p w14:paraId="416F3BC1" w14:textId="77777777" w:rsidR="00A26BEC" w:rsidRPr="00913159" w:rsidRDefault="00A26BEC" w:rsidP="00885CED">
      <w:pPr>
        <w:spacing w:after="0" w:line="276" w:lineRule="auto"/>
        <w:ind w:left="360" w:right="84" w:hanging="360"/>
        <w:jc w:val="both"/>
        <w:rPr>
          <w:rFonts w:ascii="Cambria" w:hAnsi="Cambria" w:cs="Times New Roman"/>
          <w:lang w:val="en-ID"/>
        </w:rPr>
      </w:pPr>
      <w:r w:rsidRPr="00913159">
        <w:rPr>
          <w:rFonts w:ascii="Cambria" w:hAnsi="Cambria" w:cs="Times New Roman"/>
          <w:lang w:val="en-ID"/>
        </w:rPr>
        <w:t xml:space="preserve">4. The Influence of Complaint Handling on Patient Loyalty at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  </w:t>
      </w:r>
    </w:p>
    <w:p w14:paraId="63543BEB" w14:textId="77777777" w:rsidR="00A26BEC" w:rsidRPr="00913159" w:rsidRDefault="00A26BEC" w:rsidP="00885CED">
      <w:pPr>
        <w:spacing w:after="0" w:line="276" w:lineRule="auto"/>
        <w:ind w:left="360" w:right="84" w:firstLine="491"/>
        <w:jc w:val="both"/>
        <w:rPr>
          <w:rFonts w:ascii="Cambria" w:hAnsi="Cambria" w:cs="Times New Roman"/>
          <w:lang w:val="en-ID"/>
        </w:rPr>
      </w:pPr>
      <w:r w:rsidRPr="00913159">
        <w:rPr>
          <w:rFonts w:ascii="Cambria" w:hAnsi="Cambria" w:cs="Times New Roman"/>
          <w:lang w:val="en-ID"/>
        </w:rPr>
        <w:t xml:space="preserve">  Based on the test presented in Table IV.10, it shows that the Complaint Handling Variable has a t-value &gt; t-table (2.219 &gt; 1.657) and a significance of 0.035 &lt; 0.05, so Ho is rejected and Ha is accepted. It can be concluded that there is a positive and significant influence of Complaint Handling on Patient Loyalty at the </w:t>
      </w:r>
      <w:proofErr w:type="spellStart"/>
      <w:r w:rsidRPr="00913159">
        <w:rPr>
          <w:rFonts w:ascii="Cambria" w:hAnsi="Cambria" w:cs="Times New Roman"/>
          <w:lang w:val="en-ID"/>
        </w:rPr>
        <w:t>Tawangsari</w:t>
      </w:r>
      <w:proofErr w:type="spellEnd"/>
      <w:r w:rsidRPr="00913159">
        <w:rPr>
          <w:rFonts w:ascii="Cambria" w:hAnsi="Cambria" w:cs="Times New Roman"/>
          <w:lang w:val="en-ID"/>
        </w:rPr>
        <w:t xml:space="preserve"> Community Health </w:t>
      </w:r>
      <w:proofErr w:type="spellStart"/>
      <w:r w:rsidRPr="00913159">
        <w:rPr>
          <w:rFonts w:ascii="Cambria" w:hAnsi="Cambria" w:cs="Times New Roman"/>
          <w:lang w:val="en-ID"/>
        </w:rPr>
        <w:t>Center</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Sukoharjo</w:t>
      </w:r>
      <w:proofErr w:type="spellEnd"/>
      <w:r w:rsidRPr="00913159">
        <w:rPr>
          <w:rFonts w:ascii="Cambria" w:hAnsi="Cambria" w:cs="Times New Roman"/>
          <w:lang w:val="en-ID"/>
        </w:rPr>
        <w:t xml:space="preserve"> Regency. The results of the Complaint Handling study have a positive and significant effect on Patient Loyalty. This result is in accordance with research by </w:t>
      </w:r>
      <w:proofErr w:type="spellStart"/>
      <w:r w:rsidRPr="00913159">
        <w:rPr>
          <w:rFonts w:ascii="Cambria" w:hAnsi="Cambria" w:cs="Times New Roman"/>
          <w:lang w:val="en-ID"/>
        </w:rPr>
        <w:t>Afidahtinafie</w:t>
      </w:r>
      <w:proofErr w:type="spellEnd"/>
      <w:r w:rsidRPr="00913159">
        <w:rPr>
          <w:rFonts w:ascii="Cambria" w:hAnsi="Cambria" w:cs="Times New Roman"/>
          <w:lang w:val="en-ID"/>
        </w:rPr>
        <w:t xml:space="preserve"> et al., (2024) patient experience and complaint handling have an effect on patient loyalty. Researcher Martini Et Al, (2023) also strengthens complaint handling has a positive and significant effect on patient loyalty and is also strengthened by researcher </w:t>
      </w:r>
      <w:proofErr w:type="spellStart"/>
      <w:r w:rsidRPr="00913159">
        <w:rPr>
          <w:rFonts w:ascii="Cambria" w:hAnsi="Cambria" w:cs="Times New Roman"/>
          <w:lang w:val="en-ID"/>
        </w:rPr>
        <w:t>Wiwik</w:t>
      </w:r>
      <w:proofErr w:type="spellEnd"/>
      <w:r w:rsidRPr="00913159">
        <w:rPr>
          <w:rFonts w:ascii="Cambria" w:hAnsi="Cambria" w:cs="Times New Roman"/>
          <w:lang w:val="en-ID"/>
        </w:rPr>
        <w:t xml:space="preserve"> </w:t>
      </w:r>
      <w:proofErr w:type="spellStart"/>
      <w:r w:rsidRPr="00913159">
        <w:rPr>
          <w:rFonts w:ascii="Cambria" w:hAnsi="Cambria" w:cs="Times New Roman"/>
          <w:lang w:val="en-ID"/>
        </w:rPr>
        <w:t>Suryandarwati</w:t>
      </w:r>
      <w:proofErr w:type="spellEnd"/>
      <w:r w:rsidRPr="00913159">
        <w:rPr>
          <w:rFonts w:ascii="Cambria" w:hAnsi="Cambria" w:cs="Times New Roman"/>
          <w:lang w:val="en-ID"/>
        </w:rPr>
        <w:t>, (2020) complaint handling has a significant effect on patient loyalty at BPJS hospitals in Yogyakarta.</w:t>
      </w:r>
      <w:bookmarkStart w:id="18" w:name="_Hlk228851170"/>
      <w:bookmarkStart w:id="19" w:name="_Hlk229382630"/>
      <w:bookmarkEnd w:id="18"/>
    </w:p>
    <w:bookmarkEnd w:id="19"/>
    <w:p w14:paraId="318B9A49" w14:textId="77777777" w:rsidR="00A26BEC" w:rsidRPr="00913159" w:rsidRDefault="00A26BEC" w:rsidP="00885CED">
      <w:pPr>
        <w:spacing w:after="0" w:line="276" w:lineRule="auto"/>
        <w:ind w:left="360" w:right="84" w:firstLine="491"/>
        <w:jc w:val="both"/>
        <w:rPr>
          <w:rFonts w:ascii="Cambria" w:hAnsi="Cambria" w:cs="Times New Roman"/>
          <w:lang w:val="en-ID"/>
        </w:rPr>
      </w:pPr>
      <w:r w:rsidRPr="00913159">
        <w:rPr>
          <w:rFonts w:ascii="Cambria" w:hAnsi="Cambria" w:cs="Times New Roman"/>
          <w:lang w:val="en-ID"/>
        </w:rPr>
        <w:t xml:space="preserve">  Theoretically, the benefits of handling complaints increase customer loyalty. When complaints are responded to quickly and appropriately, customers feel valued, which ultimately strengthens trust and long-term relationships between customers and the organization (</w:t>
      </w:r>
      <w:proofErr w:type="spellStart"/>
      <w:r w:rsidRPr="00913159">
        <w:rPr>
          <w:rFonts w:ascii="Cambria" w:hAnsi="Cambria" w:cs="Times New Roman"/>
          <w:lang w:val="en-ID"/>
        </w:rPr>
        <w:t>Tjiptono</w:t>
      </w:r>
      <w:proofErr w:type="spellEnd"/>
      <w:r w:rsidRPr="00913159">
        <w:rPr>
          <w:rFonts w:ascii="Cambria" w:hAnsi="Cambria" w:cs="Times New Roman"/>
          <w:lang w:val="en-ID"/>
        </w:rPr>
        <w:t>, 2011: 362-363).</w:t>
      </w:r>
      <w:bookmarkStart w:id="20" w:name="_Hlk229382739"/>
    </w:p>
    <w:bookmarkEnd w:id="20"/>
    <w:p w14:paraId="53AABC48" w14:textId="77777777" w:rsidR="000D67C5" w:rsidRPr="00913159" w:rsidRDefault="000D67C5" w:rsidP="00885CED">
      <w:pPr>
        <w:pStyle w:val="ListParagraph"/>
        <w:spacing w:after="0"/>
        <w:ind w:left="284" w:right="84" w:firstLine="567"/>
        <w:jc w:val="both"/>
        <w:rPr>
          <w:rFonts w:ascii="Cambria" w:hAnsi="Cambria"/>
          <w:lang w:val="en-ID"/>
        </w:rPr>
      </w:pPr>
    </w:p>
    <w:p w14:paraId="58060739" w14:textId="77777777" w:rsidR="0069629B" w:rsidRPr="00913159" w:rsidRDefault="00000000" w:rsidP="00885CED">
      <w:pPr>
        <w:spacing w:after="0" w:line="276" w:lineRule="auto"/>
        <w:jc w:val="both"/>
        <w:rPr>
          <w:rFonts w:ascii="Cambria" w:eastAsia="Cambria" w:hAnsi="Cambria" w:cs="Cambria"/>
          <w:b/>
          <w:lang w:val="id"/>
        </w:rPr>
      </w:pPr>
      <w:r w:rsidRPr="00913159">
        <w:rPr>
          <w:rFonts w:ascii="Cambria" w:eastAsia="Cambria" w:hAnsi="Cambria" w:cs="Cambria"/>
          <w:b/>
          <w:lang w:val="id"/>
        </w:rPr>
        <w:t>CONCLUSION AND SUGGESTIONS</w:t>
      </w:r>
    </w:p>
    <w:p w14:paraId="7A4FF337" w14:textId="77777777" w:rsidR="009F1EEA" w:rsidRPr="00913159" w:rsidRDefault="00E76B78" w:rsidP="00885CED">
      <w:pPr>
        <w:spacing w:after="0" w:line="276" w:lineRule="auto"/>
        <w:ind w:firstLine="720"/>
        <w:jc w:val="both"/>
        <w:rPr>
          <w:rFonts w:ascii="Cambria" w:eastAsia="Times New Roman" w:hAnsi="Cambria" w:cs="Times New Roman"/>
          <w:lang w:val="id"/>
        </w:rPr>
      </w:pPr>
      <w:r w:rsidRPr="00913159">
        <w:rPr>
          <w:rFonts w:ascii="Cambria" w:eastAsia="Times New Roman" w:hAnsi="Cambria" w:cs="Times New Roman"/>
          <w:lang w:val="id"/>
        </w:rPr>
        <w:t>Based on the results of hypothesis testing and the discussion that has been done, it can be concluded that Response Time has a positive and significant effect on patient loyalty at Tawangsari Community Health Center, Sukoharjo Regency, as well as Officer Competence, Health Facilities, and Complaint Handling, each of which also has a positive and significant effect on patient loyalty. In addition, based on the calculation results, an adjusted R square value of 0.495 was obtained, indicating that the variables of Service Response Time, Officer Competence, Health Facilities, and Complaint Handling contributed 49.5% to Patient Loyalty, while the remaining 50.5% was influenced by other variables not examined in this study. Based on these conclusions, the author provides theoretical suggestions so that further researchers can develop research by adding other independent variables that have the potential to influence patient loyalty, such as patient trust, health center image, service costs, ease of access, and other variables, considering that there is still an influence of 50.5% explained by factors outside this study.</w:t>
      </w:r>
    </w:p>
    <w:p w14:paraId="68327931" w14:textId="77777777" w:rsidR="00E76B78" w:rsidRPr="00913159" w:rsidRDefault="00E76B78" w:rsidP="00885CED">
      <w:pPr>
        <w:spacing w:after="0" w:line="276" w:lineRule="auto"/>
        <w:ind w:firstLine="720"/>
        <w:jc w:val="both"/>
        <w:rPr>
          <w:rFonts w:ascii="Cambria" w:hAnsi="Cambria" w:cs="Times New Roman"/>
          <w:lang w:val="id-ID"/>
        </w:rPr>
      </w:pPr>
    </w:p>
    <w:p w14:paraId="73604283" w14:textId="77777777" w:rsidR="00314943" w:rsidRPr="00913159" w:rsidRDefault="00314943" w:rsidP="00885CED">
      <w:pPr>
        <w:spacing w:after="0" w:line="276" w:lineRule="auto"/>
        <w:jc w:val="both"/>
        <w:rPr>
          <w:rFonts w:ascii="Cambria" w:eastAsia="Cambria" w:hAnsi="Cambria" w:cs="Cambria"/>
          <w:b/>
          <w:lang w:val="id-ID"/>
        </w:rPr>
      </w:pPr>
      <w:r w:rsidRPr="00913159">
        <w:rPr>
          <w:rFonts w:ascii="Cambria" w:eastAsia="Cambria" w:hAnsi="Cambria" w:cs="Cambria"/>
          <w:b/>
          <w:lang w:val="id-ID"/>
        </w:rPr>
        <w:t>BIBLIOGRAPHY</w:t>
      </w:r>
    </w:p>
    <w:p w14:paraId="4EE48324"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i/>
          <w:iCs/>
          <w:noProof/>
          <w:lang w:val="sv-SE"/>
        </w:rPr>
      </w:pPr>
      <w:r w:rsidRPr="00913159">
        <w:rPr>
          <w:rFonts w:ascii="Cambria" w:hAnsi="Cambria" w:cs="Times New Roman"/>
          <w:noProof/>
          <w:lang w:val="en-ID"/>
        </w:rPr>
        <w:t xml:space="preserve">Arikunto. (2019). Research Procedures: A Practical Approach. </w:t>
      </w:r>
      <w:r w:rsidRPr="00913159">
        <w:rPr>
          <w:rFonts w:ascii="Cambria" w:hAnsi="Cambria" w:cs="Times New Roman"/>
          <w:noProof/>
          <w:lang w:val="sv-SE"/>
        </w:rPr>
        <w:t>Jakarta: Rineka Cipta.</w:t>
      </w:r>
    </w:p>
    <w:p w14:paraId="2F87D71E"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lang w:val="sv-SE"/>
        </w:rPr>
        <w:t xml:space="preserve">Istiatin, &amp; Sudarwati. </w:t>
      </w:r>
      <w:r w:rsidRPr="00913159">
        <w:rPr>
          <w:rFonts w:ascii="Cambria" w:hAnsi="Cambria" w:cs="Times New Roman"/>
          <w:noProof/>
          <w:lang w:val="en-ID"/>
        </w:rPr>
        <w:t>(2021). Introduction to Research Methodology. Surakarta: Batik Islamic University.</w:t>
      </w:r>
    </w:p>
    <w:p w14:paraId="095467FA"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lang w:val="en-ID"/>
        </w:rPr>
        <w:lastRenderedPageBreak/>
        <w:t>Sugiyono. (2019). Quantitative, Qualitative, and R&amp;D Research Methods. Bandung:</w:t>
      </w:r>
    </w:p>
    <w:p w14:paraId="06259FA4"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lang w:val="en-ID"/>
        </w:rPr>
        <w:t>Regulation of the Minister of Health of the Republic of Indonesia Number 19 (2024). Implementation of Community Health Centers. Jakarta: Minister of Health of the Republic of Indonesia</w:t>
      </w:r>
    </w:p>
    <w:p w14:paraId="6C6A046F"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lang w:val="en-ID"/>
        </w:rPr>
        <w:t>Alphabet.</w:t>
      </w:r>
      <w:r w:rsidRPr="00913159">
        <w:rPr>
          <w:rFonts w:ascii="Cambria" w:hAnsi="Cambria"/>
          <w:lang w:val="en-ID"/>
        </w:rPr>
        <w:t xml:space="preserve"> </w:t>
      </w:r>
      <w:r w:rsidRPr="00913159">
        <w:rPr>
          <w:rFonts w:ascii="Cambria" w:hAnsi="Cambria" w:cs="Times New Roman"/>
          <w:noProof/>
          <w:lang w:val="en-ID"/>
        </w:rPr>
        <w:t>Ardoni, A. (2022). Analysis of Waiting Time, Service Quality, and Trust in Loyalty with Satisfaction as a Mediator. Journal of Business and Economics (JBE) UPI YPTK, 7(3), 308-315.</w:t>
      </w:r>
    </w:p>
    <w:p w14:paraId="3A38F675"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rPr>
        <w:t>Afidahtin, A., Ruswanti, E., &amp; Tahjoo, A. (2024). The importance of patient loyalty through experience and complaint handling with trust as a mediator. Journal of Nursing and Public Health, 12(2), 306-313.</w:t>
      </w:r>
    </w:p>
    <w:p w14:paraId="3653C224"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rPr>
        <w:t>Chrisandita, PAP, &amp; Darma, GS (2020). Determinants of Patient Loyalty in the Industrial Revolution 4.0 Era. Bali Health Journal, 4(2), 73-88.</w:t>
      </w:r>
    </w:p>
    <w:p w14:paraId="464BBE89"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lang w:val="en-ID"/>
        </w:rPr>
        <w:t>Susianta, I. (2021). The Influence of Nurse Competence and Nurse Behavior on Nurse Performance and Patient Loyalty at Citra Medika Sidoarjo General Hospital. Sasanti: Journal of Economics and Business, 2(1), 44-58.</w:t>
      </w:r>
    </w:p>
    <w:p w14:paraId="62D97757"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lang w:val="en-ID"/>
        </w:rPr>
        <w:t>Pasaribu, MW, &amp; Saparso, EDP The Effect of Quality and Service Facilities on the Loyalty of BPJS User Patients with Patient Satisfaction as an Intervening Variable.</w:t>
      </w:r>
    </w:p>
    <w:p w14:paraId="4BC4422F"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rPr>
        <w:t>Utami, K., Gunardi, WD, &amp; Purnama, ED (2025). The Influence of Competence and Service Quality on Patient Loyalty with Patient Satisfaction as a Moderating Variable in the Emergency Room of Bhayangkara Hospital, Pontianak. J-CEKI: Jurnal Cendekia Ilmiah, 4(2), 1773-1788.</w:t>
      </w:r>
    </w:p>
    <w:p w14:paraId="078BEC3B" w14:textId="79AC2D6F" w:rsidR="00E76B78" w:rsidRPr="00885CED"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rPr>
        <w:t>Demak, SPA, Noviasari, Y., Widowati, SY, &amp; Santoso, A. Determinant Analysis of Satisfaction of Outpatients in Pelita Anugerah Demak Hospital.</w:t>
      </w:r>
      <w:r w:rsidRPr="00913159">
        <w:rPr>
          <w:rFonts w:ascii="Cambria" w:hAnsi="Cambria"/>
        </w:rPr>
        <w:tab/>
      </w:r>
    </w:p>
    <w:p w14:paraId="1DF2548C"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lang w:val="en-ID"/>
        </w:rPr>
        <w:t>Body, E. (2025). The influence of competence, work motivation, and quality of medical personnel services on patient loyalty with patient satisfaction as a mediating variable at Yadika Hospital, Kebayoran Lama (Doctoral dissertation, Satya Negara Indonesia University).</w:t>
      </w:r>
    </w:p>
    <w:p w14:paraId="74A252C7"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lang w:val="en-ID"/>
        </w:rPr>
        <w:t>Wiranata, JAP, &amp; Handoyo, SE (2025). The effect of service quality and waiting time on loyalty through BPJS Kesehatan patient satisfaction at type B hospitals in North Jakarta. Journal of Business Management and Entrepreneurship, 9(2), 237-251.</w:t>
      </w:r>
    </w:p>
    <w:p w14:paraId="124E86EB"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sv-SE"/>
        </w:rPr>
      </w:pPr>
      <w:r w:rsidRPr="00913159">
        <w:rPr>
          <w:rFonts w:ascii="Cambria" w:hAnsi="Cambria" w:cs="Times New Roman"/>
          <w:noProof/>
          <w:lang w:val="en-ID"/>
        </w:rPr>
        <w:t xml:space="preserve">Maharani, PH, Dewi, LKC, &amp; Martini, LKB (2023). The Effect of Complaint Handling and Service Quality on Patient Loyalty with Patient Satisfaction as a Mediating Variable During the Covid Pandemic at RSK Bedah BIMC, Kuta. </w:t>
      </w:r>
      <w:r w:rsidRPr="00913159">
        <w:rPr>
          <w:rFonts w:ascii="Cambria" w:hAnsi="Cambria" w:cs="Times New Roman"/>
          <w:noProof/>
          <w:lang w:val="sv-SE"/>
        </w:rPr>
        <w:t>Rela: Jurnal Ekonomi, 19(1), 134-145.</w:t>
      </w:r>
    </w:p>
    <w:p w14:paraId="699AAB21"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lang w:val="sv-SE"/>
        </w:rPr>
        <w:t xml:space="preserve">Dayan, M., Al Kuwaiti, IA, Husain, Z., Ng, P.Y., &amp; Dayan, A. (2022). </w:t>
      </w:r>
      <w:r w:rsidRPr="00913159">
        <w:rPr>
          <w:rFonts w:ascii="Cambria" w:hAnsi="Cambria" w:cs="Times New Roman"/>
          <w:noProof/>
          <w:lang w:val="en-ID"/>
        </w:rPr>
        <w:t>Factors influencing patient loyalty to outpatient medical services: an empirical analysis of the UAE's government healthcare system. International Journal of Quality &amp; Reliability Management, 39(1), 176-203.</w:t>
      </w:r>
    </w:p>
    <w:p w14:paraId="6DA3EEF2"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lang w:val="en-ID"/>
        </w:rPr>
      </w:pPr>
      <w:r w:rsidRPr="00913159">
        <w:rPr>
          <w:rFonts w:ascii="Cambria" w:hAnsi="Cambria" w:cs="Times New Roman"/>
          <w:noProof/>
        </w:rPr>
        <w:t xml:space="preserve">Vebnia, A., Pradhanawati, A., &amp; Nurseto, S. (2013). The Influence of Facilities, Location and Rates on Loyalty through Patient Satisfaction as a Mediating Variable in Patients of Muhammadiyah Semarang Hospital Polyclinic. Journal of Business </w:t>
      </w:r>
      <w:r w:rsidRPr="00913159">
        <w:rPr>
          <w:rFonts w:ascii="Cambria" w:hAnsi="Cambria" w:cs="Times New Roman"/>
          <w:noProof/>
        </w:rPr>
        <w:lastRenderedPageBreak/>
        <w:t>Administration, 2(4), 190-197.</w:t>
      </w:r>
    </w:p>
    <w:p w14:paraId="4512B193"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lang w:val="en-ID"/>
        </w:rPr>
        <w:t>Setyorini, CHE, Gunawan, H., Betan, A., Kadir, I., Syamsu, ASI, &amp; Yusriadi, YM (2021). Increased patient satisfaction and loyalty in terms of facility aspects and health worker performance. In Proceedings of the International Conference on Industrial Engineering and Operations Management (Vol. 7, No. 11, pp. 6314-6321).</w:t>
      </w:r>
    </w:p>
    <w:p w14:paraId="79333163"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rPr>
        <w:t>Sulistyowati, E., &amp; Indrawati, M. (2025). Analysis of the influence of waiting time for drug services and provision of drug information on patient loyalty mediated by the satisfaction of chronic outpatients at Brawijaya Level III Hospital. MAP (Journal of Management and Public Administration), 8(1), 31-44.</w:t>
      </w:r>
    </w:p>
    <w:p w14:paraId="3BFA8CC4" w14:textId="77777777" w:rsidR="00E76B78" w:rsidRPr="00913159" w:rsidRDefault="00E76B78" w:rsidP="00885CED">
      <w:pPr>
        <w:widowControl w:val="0"/>
        <w:autoSpaceDE w:val="0"/>
        <w:autoSpaceDN w:val="0"/>
        <w:adjustRightInd w:val="0"/>
        <w:spacing w:after="0" w:line="276" w:lineRule="auto"/>
        <w:ind w:left="720" w:hanging="720"/>
        <w:jc w:val="both"/>
        <w:rPr>
          <w:rFonts w:ascii="Cambria" w:hAnsi="Cambria" w:cs="Times New Roman"/>
          <w:noProof/>
        </w:rPr>
      </w:pPr>
      <w:r w:rsidRPr="00913159">
        <w:rPr>
          <w:rFonts w:ascii="Cambria" w:hAnsi="Cambria" w:cs="Times New Roman"/>
          <w:noProof/>
          <w:lang w:val="en-ID"/>
        </w:rPr>
        <w:t xml:space="preserve">At the implementing hospital, by (2020). The effect of complaint handling on patient loyalty through satisfaction complaint handling. </w:t>
      </w:r>
      <w:r w:rsidRPr="00913159">
        <w:rPr>
          <w:rFonts w:ascii="Cambria" w:hAnsi="Cambria" w:cs="Times New Roman"/>
          <w:noProof/>
          <w:lang w:val="sv-SE"/>
        </w:rPr>
        <w:t>Journal of Hospital Administration, 1(1).</w:t>
      </w:r>
    </w:p>
    <w:p w14:paraId="15F700F7" w14:textId="77777777" w:rsidR="004355A2" w:rsidRPr="00913159" w:rsidRDefault="004355A2" w:rsidP="00885CED">
      <w:pPr>
        <w:pStyle w:val="NormalWeb"/>
        <w:spacing w:before="0" w:beforeAutospacing="0" w:after="0" w:afterAutospacing="0" w:line="276" w:lineRule="auto"/>
        <w:ind w:left="709" w:hanging="709"/>
        <w:rPr>
          <w:rFonts w:ascii="Cambria" w:eastAsia="Cambria" w:hAnsi="Cambria" w:cs="Cambria"/>
          <w:sz w:val="22"/>
          <w:szCs w:val="22"/>
        </w:rPr>
      </w:pPr>
    </w:p>
    <w:sectPr w:rsidR="004355A2" w:rsidRPr="00913159" w:rsidSect="00885CED">
      <w:headerReference w:type="even" r:id="rId10"/>
      <w:headerReference w:type="default" r:id="rId11"/>
      <w:footerReference w:type="even" r:id="rId12"/>
      <w:footerReference w:type="default" r:id="rId13"/>
      <w:headerReference w:type="first" r:id="rId14"/>
      <w:footerReference w:type="first" r:id="rId15"/>
      <w:pgSz w:w="11906" w:h="16838" w:code="9"/>
      <w:pgMar w:top="1699" w:right="1699" w:bottom="1699" w:left="2275" w:header="720" w:footer="720" w:gutter="0"/>
      <w:pgNumType w:start="504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61F43" w14:textId="77777777" w:rsidR="00321472" w:rsidRDefault="00321472">
      <w:pPr>
        <w:spacing w:after="0" w:line="240" w:lineRule="auto"/>
      </w:pPr>
      <w:r>
        <w:separator/>
      </w:r>
    </w:p>
  </w:endnote>
  <w:endnote w:type="continuationSeparator" w:id="0">
    <w:p w14:paraId="044520AB" w14:textId="77777777" w:rsidR="00321472" w:rsidRDefault="0032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81A9D" w14:textId="77777777" w:rsidR="004355A2" w:rsidRDefault="004355A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954629"/>
      <w:docPartObj>
        <w:docPartGallery w:val="Page Numbers (Bottom of Page)"/>
        <w:docPartUnique/>
      </w:docPartObj>
    </w:sdtPr>
    <w:sdtEndPr>
      <w:rPr>
        <w:color w:val="7F7F7F" w:themeColor="background1" w:themeShade="7F"/>
        <w:spacing w:val="60"/>
      </w:rPr>
    </w:sdtEndPr>
    <w:sdtContent>
      <w:p w14:paraId="4BF2410F" w14:textId="4F88C36F" w:rsidR="00885CED" w:rsidRDefault="00885CE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Volume 7 </w:t>
        </w:r>
        <w:proofErr w:type="spellStart"/>
        <w:r>
          <w:rPr>
            <w:b/>
            <w:bCs/>
          </w:rPr>
          <w:t>Nomor</w:t>
        </w:r>
        <w:proofErr w:type="spellEnd"/>
        <w:r>
          <w:rPr>
            <w:b/>
            <w:bCs/>
          </w:rPr>
          <w:t xml:space="preserve"> </w:t>
        </w:r>
        <w:proofErr w:type="gramStart"/>
        <w:r>
          <w:rPr>
            <w:b/>
            <w:bCs/>
          </w:rPr>
          <w:t>8  2026</w:t>
        </w:r>
        <w:proofErr w:type="gramEnd"/>
      </w:p>
    </w:sdtContent>
  </w:sdt>
  <w:p w14:paraId="3964DBCB" w14:textId="77777777" w:rsidR="004355A2" w:rsidRDefault="004355A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36B15" w14:textId="77777777" w:rsidR="004355A2" w:rsidRDefault="004355A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145204" w14:textId="77777777" w:rsidR="00321472" w:rsidRDefault="00321472">
      <w:pPr>
        <w:spacing w:after="0" w:line="240" w:lineRule="auto"/>
      </w:pPr>
      <w:r>
        <w:separator/>
      </w:r>
    </w:p>
  </w:footnote>
  <w:footnote w:type="continuationSeparator" w:id="0">
    <w:p w14:paraId="0C98E93C" w14:textId="77777777" w:rsidR="00321472" w:rsidRDefault="00321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23FBC" w14:textId="77777777" w:rsidR="004355A2" w:rsidRDefault="004355A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1" w:name="_Hlk171881422"/>
  <w:p w14:paraId="62C5A7FB" w14:textId="77777777" w:rsidR="00913159" w:rsidRPr="00913159" w:rsidRDefault="00913159" w:rsidP="00913159">
    <w:pPr>
      <w:tabs>
        <w:tab w:val="left" w:pos="709"/>
        <w:tab w:val="center" w:pos="4513"/>
        <w:tab w:val="right" w:pos="9026"/>
      </w:tabs>
      <w:spacing w:after="0" w:line="240" w:lineRule="auto"/>
      <w:jc w:val="center"/>
      <w:rPr>
        <w:rFonts w:ascii="Times New Roman" w:eastAsia="Meiryo" w:hAnsi="Times New Roman" w:cs="Times New Roman"/>
        <w:b/>
        <w:bCs/>
        <w:color w:val="000000"/>
        <w:kern w:val="2"/>
        <w:sz w:val="24"/>
        <w:lang w:val="id-ID" w:eastAsia="en-US"/>
        <w14:ligatures w14:val="standardContextual"/>
      </w:rPr>
    </w:pPr>
    <w:r w:rsidRPr="00913159">
      <w:rPr>
        <w:rFonts w:ascii="Times New Roman" w:eastAsia="Meiryo" w:hAnsi="Times New Roman" w:cs="Times New Roman"/>
        <w:b/>
        <w:bCs/>
        <w:color w:val="000000"/>
        <w:kern w:val="2"/>
        <w:sz w:val="24"/>
        <w:lang w:val="id-ID" w:eastAsia="en-US"/>
        <w14:ligatures w14:val="standardContextual"/>
      </w:rPr>
      <w:fldChar w:fldCharType="begin"/>
    </w:r>
    <w:r w:rsidRPr="00913159">
      <w:rPr>
        <w:rFonts w:ascii="Times New Roman" w:eastAsia="Meiryo" w:hAnsi="Times New Roman" w:cs="Times New Roman"/>
        <w:b/>
        <w:bCs/>
        <w:color w:val="000000"/>
        <w:kern w:val="2"/>
        <w:sz w:val="24"/>
        <w:lang w:val="id-ID" w:eastAsia="en-US"/>
        <w14:ligatures w14:val="standardContextual"/>
      </w:rPr>
      <w:instrText>HYPERLINK "https://journal-laaroiba.com/ojs/index.php/elmal/12188"</w:instrText>
    </w:r>
    <w:r w:rsidRPr="00913159">
      <w:rPr>
        <w:rFonts w:ascii="Times New Roman" w:eastAsia="Meiryo" w:hAnsi="Times New Roman" w:cs="Times New Roman"/>
        <w:b/>
        <w:bCs/>
        <w:color w:val="000000"/>
        <w:kern w:val="2"/>
        <w:sz w:val="24"/>
        <w:lang w:val="id-ID" w:eastAsia="en-US"/>
        <w14:ligatures w14:val="standardContextual"/>
      </w:rPr>
    </w:r>
    <w:r w:rsidRPr="00913159">
      <w:rPr>
        <w:rFonts w:ascii="Times New Roman" w:eastAsia="Meiryo" w:hAnsi="Times New Roman" w:cs="Times New Roman"/>
        <w:b/>
        <w:bCs/>
        <w:color w:val="000000"/>
        <w:kern w:val="2"/>
        <w:sz w:val="24"/>
        <w:lang w:val="id-ID" w:eastAsia="en-US"/>
        <w14:ligatures w14:val="standardContextual"/>
      </w:rPr>
      <w:fldChar w:fldCharType="separate"/>
    </w:r>
    <w:r w:rsidRPr="00913159">
      <w:rPr>
        <w:rFonts w:ascii="Times New Roman" w:eastAsia="Meiryo" w:hAnsi="Times New Roman" w:cs="Times New Roman"/>
        <w:b/>
        <w:bCs/>
        <w:noProof/>
        <w:color w:val="000000"/>
        <w:kern w:val="2"/>
        <w:sz w:val="24"/>
        <w:lang w:val="id-ID" w:eastAsia="en-US"/>
        <w14:ligatures w14:val="standardContextual"/>
      </w:rPr>
      <w:drawing>
        <wp:inline distT="0" distB="0" distL="0" distR="0" wp14:anchorId="239196C4" wp14:editId="2351B3BF">
          <wp:extent cx="4371975" cy="4572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53CA3308" w14:textId="226E5B9D" w:rsidR="00913159" w:rsidRPr="00913159" w:rsidRDefault="00913159" w:rsidP="00913159">
    <w:pPr>
      <w:tabs>
        <w:tab w:val="left" w:pos="709"/>
        <w:tab w:val="right" w:pos="9360"/>
      </w:tabs>
      <w:spacing w:after="0" w:line="240" w:lineRule="auto"/>
      <w:jc w:val="center"/>
      <w:rPr>
        <w:rFonts w:ascii="Cambria" w:eastAsia="Times New Roman" w:hAnsi="Cambria" w:cs="Times New Roman"/>
        <w:b/>
        <w:bCs/>
        <w:color w:val="000000"/>
        <w:kern w:val="2"/>
        <w:sz w:val="24"/>
        <w:lang w:val="en-ID" w:eastAsia="en-US"/>
        <w14:ligatures w14:val="standardContextual"/>
      </w:rPr>
    </w:pPr>
    <w:r w:rsidRPr="00913159">
      <w:rPr>
        <w:rFonts w:ascii="Cambria" w:eastAsia="Times New Roman" w:hAnsi="Cambria" w:cs="Times New Roman"/>
        <w:b/>
        <w:bCs/>
        <w:color w:val="000000"/>
        <w:spacing w:val="-1"/>
        <w:kern w:val="2"/>
        <w:sz w:val="24"/>
        <w:lang w:val="en-ID" w:eastAsia="en-US"/>
        <w14:ligatures w14:val="standardContextual"/>
      </w:rPr>
      <w:t>V</w:t>
    </w:r>
    <w:r w:rsidRPr="00913159">
      <w:rPr>
        <w:rFonts w:ascii="Cambria" w:eastAsia="Times New Roman" w:hAnsi="Cambria" w:cs="Times New Roman"/>
        <w:b/>
        <w:bCs/>
        <w:color w:val="000000"/>
        <w:kern w:val="2"/>
        <w:sz w:val="24"/>
        <w:lang w:val="en-ID" w:eastAsia="en-US"/>
        <w14:ligatures w14:val="standardContextual"/>
      </w:rPr>
      <w:t xml:space="preserve">ol </w:t>
    </w:r>
    <w:r w:rsidRPr="00913159">
      <w:rPr>
        <w:rFonts w:ascii="Cambria" w:eastAsia="SimSun" w:hAnsi="Cambria" w:cs="Times New Roman"/>
        <w:b/>
        <w:bCs/>
        <w:color w:val="000000"/>
        <w:kern w:val="2"/>
        <w:sz w:val="24"/>
        <w:lang w:val="id-ID" w:eastAsia="en-US"/>
        <w14:ligatures w14:val="standardContextual"/>
      </w:rPr>
      <w:t>7</w:t>
    </w:r>
    <w:r w:rsidRPr="00913159">
      <w:rPr>
        <w:rFonts w:ascii="Cambria" w:eastAsia="Times New Roman" w:hAnsi="Cambria" w:cs="Times New Roman"/>
        <w:b/>
        <w:bCs/>
        <w:color w:val="000000"/>
        <w:spacing w:val="-1"/>
        <w:kern w:val="2"/>
        <w:sz w:val="24"/>
        <w:lang w:val="en-ID" w:eastAsia="en-US"/>
        <w14:ligatures w14:val="standardContextual"/>
      </w:rPr>
      <w:t xml:space="preserve"> </w:t>
    </w:r>
    <w:r w:rsidRPr="00913159">
      <w:rPr>
        <w:rFonts w:ascii="Cambria" w:eastAsia="Times New Roman" w:hAnsi="Cambria" w:cs="Times New Roman"/>
        <w:b/>
        <w:bCs/>
        <w:color w:val="000000"/>
        <w:kern w:val="2"/>
        <w:sz w:val="24"/>
        <w:lang w:val="en-ID" w:eastAsia="en-US"/>
        <w14:ligatures w14:val="standardContextual"/>
      </w:rPr>
      <w:t>No</w:t>
    </w:r>
    <w:r w:rsidRPr="00913159">
      <w:rPr>
        <w:rFonts w:ascii="Cambria" w:eastAsia="Times New Roman" w:hAnsi="Cambria" w:cs="Times New Roman"/>
        <w:b/>
        <w:bCs/>
        <w:color w:val="000000"/>
        <w:spacing w:val="2"/>
        <w:kern w:val="2"/>
        <w:sz w:val="24"/>
        <w:lang w:val="en-ID" w:eastAsia="en-US"/>
        <w14:ligatures w14:val="standardContextual"/>
      </w:rPr>
      <w:t xml:space="preserve"> 8</w:t>
    </w:r>
    <w:r w:rsidRPr="00913159">
      <w:rPr>
        <w:rFonts w:ascii="Cambria" w:eastAsia="Times New Roman" w:hAnsi="Cambria" w:cs="Times New Roman"/>
        <w:b/>
        <w:bCs/>
        <w:color w:val="000000"/>
        <w:spacing w:val="-1"/>
        <w:kern w:val="2"/>
        <w:sz w:val="24"/>
        <w:lang w:val="en-ID" w:eastAsia="en-US"/>
        <w14:ligatures w14:val="standardContextual"/>
      </w:rPr>
      <w:t xml:space="preserve"> (2</w:t>
    </w:r>
    <w:r w:rsidRPr="00913159">
      <w:rPr>
        <w:rFonts w:ascii="Cambria" w:eastAsia="Times New Roman" w:hAnsi="Cambria" w:cs="Times New Roman"/>
        <w:b/>
        <w:bCs/>
        <w:color w:val="000000"/>
        <w:spacing w:val="1"/>
        <w:kern w:val="2"/>
        <w:sz w:val="24"/>
        <w:lang w:val="en-ID" w:eastAsia="en-US"/>
        <w14:ligatures w14:val="standardContextual"/>
      </w:rPr>
      <w:t>0</w:t>
    </w:r>
    <w:r w:rsidRPr="00913159">
      <w:rPr>
        <w:rFonts w:ascii="Cambria" w:eastAsia="Times New Roman" w:hAnsi="Cambria" w:cs="Times New Roman"/>
        <w:b/>
        <w:bCs/>
        <w:color w:val="000000"/>
        <w:spacing w:val="-1"/>
        <w:kern w:val="2"/>
        <w:sz w:val="24"/>
        <w:lang w:val="en-ID" w:eastAsia="en-US"/>
        <w14:ligatures w14:val="standardContextual"/>
      </w:rPr>
      <w:t xml:space="preserve">26) </w:t>
    </w:r>
    <w:r w:rsidR="00885CED">
      <w:rPr>
        <w:rFonts w:ascii="Cambria" w:eastAsia="Times New Roman" w:hAnsi="Cambria" w:cs="Times New Roman"/>
        <w:b/>
        <w:bCs/>
        <w:color w:val="000000"/>
        <w:spacing w:val="-1"/>
        <w:kern w:val="2"/>
        <w:sz w:val="24"/>
        <w:lang w:val="en-ID" w:eastAsia="en-US"/>
        <w14:ligatures w14:val="standardContextual"/>
      </w:rPr>
      <w:t>5048</w:t>
    </w:r>
    <w:r w:rsidRPr="00913159">
      <w:rPr>
        <w:rFonts w:ascii="Cambria" w:eastAsia="MS Gothic" w:hAnsi="Cambria" w:cs="Times New Roman"/>
        <w:b/>
        <w:bCs/>
        <w:color w:val="000000"/>
        <w:kern w:val="2"/>
        <w:sz w:val="24"/>
        <w:lang w:val="id-ID" w:eastAsia="en-US"/>
        <w14:ligatures w14:val="standardContextual"/>
      </w:rPr>
      <w:t xml:space="preserve"> </w:t>
    </w:r>
    <w:r w:rsidRPr="00913159">
      <w:rPr>
        <w:rFonts w:ascii="Cambria" w:eastAsia="Times New Roman" w:hAnsi="Cambria" w:cs="Times New Roman"/>
        <w:b/>
        <w:bCs/>
        <w:color w:val="000000"/>
        <w:kern w:val="2"/>
        <w:sz w:val="24"/>
        <w:lang w:val="en-ID" w:eastAsia="en-US"/>
        <w14:ligatures w14:val="standardContextual"/>
      </w:rPr>
      <w:t>-</w:t>
    </w:r>
    <w:r w:rsidRPr="00913159">
      <w:rPr>
        <w:rFonts w:ascii="Cambria" w:eastAsia="Times New Roman" w:hAnsi="Cambria" w:cs="Times New Roman"/>
        <w:b/>
        <w:bCs/>
        <w:color w:val="000000"/>
        <w:kern w:val="2"/>
        <w:sz w:val="24"/>
        <w:lang w:val="id-ID" w:eastAsia="en-US"/>
        <w14:ligatures w14:val="standardContextual"/>
      </w:rPr>
      <w:t xml:space="preserve"> </w:t>
    </w:r>
    <w:r w:rsidR="00885CED">
      <w:rPr>
        <w:rFonts w:ascii="Cambria" w:eastAsia="Times New Roman" w:hAnsi="Cambria" w:cs="Times New Roman"/>
        <w:b/>
        <w:bCs/>
        <w:color w:val="000000"/>
        <w:kern w:val="2"/>
        <w:sz w:val="24"/>
        <w:lang w:val="id-ID" w:eastAsia="en-US"/>
        <w14:ligatures w14:val="standardContextual"/>
      </w:rPr>
      <w:t>5058</w:t>
    </w:r>
    <w:r w:rsidRPr="00913159">
      <w:rPr>
        <w:rFonts w:ascii="Cambria" w:eastAsia="Times New Roman" w:hAnsi="Cambria" w:cs="Times New Roman"/>
        <w:b/>
        <w:bCs/>
        <w:color w:val="000000"/>
        <w:kern w:val="2"/>
        <w:sz w:val="24"/>
        <w:lang w:val="en-ID" w:eastAsia="en-US"/>
        <w14:ligatures w14:val="standardContextual"/>
      </w:rPr>
      <w:t xml:space="preserve"> </w:t>
    </w:r>
    <w:r w:rsidRPr="00913159">
      <w:rPr>
        <w:rFonts w:ascii="Cambria" w:eastAsia="Times New Roman" w:hAnsi="Cambria" w:cs="Times New Roman"/>
        <w:b/>
        <w:bCs/>
        <w:color w:val="000000"/>
        <w:spacing w:val="1"/>
        <w:kern w:val="2"/>
        <w:sz w:val="24"/>
        <w:lang w:val="en-ID" w:eastAsia="en-US"/>
        <w14:ligatures w14:val="standardContextual"/>
      </w:rPr>
      <w:t>P</w:t>
    </w:r>
    <w:r w:rsidRPr="00913159">
      <w:rPr>
        <w:rFonts w:ascii="Cambria" w:eastAsia="Times New Roman" w:hAnsi="Cambria" w:cs="Times New Roman"/>
        <w:b/>
        <w:bCs/>
        <w:color w:val="000000"/>
        <w:kern w:val="2"/>
        <w:sz w:val="24"/>
        <w:lang w:val="en-ID" w:eastAsia="en-US"/>
        <w14:ligatures w14:val="standardContextual"/>
      </w:rPr>
      <w:t>-</w:t>
    </w:r>
    <w:r w:rsidRPr="00913159">
      <w:rPr>
        <w:rFonts w:ascii="Cambria" w:eastAsia="Times New Roman" w:hAnsi="Cambria" w:cs="Times New Roman"/>
        <w:b/>
        <w:bCs/>
        <w:color w:val="000000"/>
        <w:spacing w:val="-1"/>
        <w:kern w:val="2"/>
        <w:sz w:val="24"/>
        <w:lang w:val="en-ID" w:eastAsia="en-US"/>
        <w14:ligatures w14:val="standardContextual"/>
      </w:rPr>
      <w:t>I</w:t>
    </w:r>
    <w:r w:rsidRPr="00913159">
      <w:rPr>
        <w:rFonts w:ascii="Cambria" w:eastAsia="Times New Roman" w:hAnsi="Cambria" w:cs="Times New Roman"/>
        <w:b/>
        <w:bCs/>
        <w:color w:val="000000"/>
        <w:spacing w:val="1"/>
        <w:kern w:val="2"/>
        <w:sz w:val="24"/>
        <w:lang w:val="en-ID" w:eastAsia="en-US"/>
        <w14:ligatures w14:val="standardContextual"/>
      </w:rPr>
      <w:t>SS</w:t>
    </w:r>
    <w:r w:rsidRPr="00913159">
      <w:rPr>
        <w:rFonts w:ascii="Cambria" w:eastAsia="Times New Roman" w:hAnsi="Cambria" w:cs="Times New Roman"/>
        <w:b/>
        <w:bCs/>
        <w:color w:val="000000"/>
        <w:kern w:val="2"/>
        <w:sz w:val="24"/>
        <w:lang w:val="en-ID" w:eastAsia="en-US"/>
        <w14:ligatures w14:val="standardContextual"/>
      </w:rPr>
      <w:t xml:space="preserve">N </w:t>
    </w:r>
    <w:r w:rsidRPr="00913159">
      <w:rPr>
        <w:rFonts w:ascii="Cambria" w:eastAsia="Times New Roman" w:hAnsi="Cambria" w:cs="Times New Roman"/>
        <w:b/>
        <w:bCs/>
        <w:color w:val="000000"/>
        <w:spacing w:val="-1"/>
        <w:kern w:val="2"/>
        <w:sz w:val="24"/>
        <w:lang w:val="en-ID" w:eastAsia="en-US"/>
        <w14:ligatures w14:val="standardContextual"/>
      </w:rPr>
      <w:t>262</w:t>
    </w:r>
    <w:r w:rsidRPr="00913159">
      <w:rPr>
        <w:rFonts w:ascii="Cambria" w:eastAsia="Times New Roman" w:hAnsi="Cambria" w:cs="Times New Roman"/>
        <w:b/>
        <w:bCs/>
        <w:color w:val="000000"/>
        <w:kern w:val="2"/>
        <w:sz w:val="24"/>
        <w:lang w:val="en-ID" w:eastAsia="en-US"/>
        <w14:ligatures w14:val="standardContextual"/>
      </w:rPr>
      <w:t>0</w:t>
    </w:r>
    <w:r w:rsidRPr="00913159">
      <w:rPr>
        <w:rFonts w:ascii="Cambria" w:eastAsia="Times New Roman" w:hAnsi="Cambria" w:cs="Times New Roman"/>
        <w:b/>
        <w:bCs/>
        <w:color w:val="000000"/>
        <w:spacing w:val="2"/>
        <w:kern w:val="2"/>
        <w:sz w:val="24"/>
        <w:lang w:val="en-ID" w:eastAsia="en-US"/>
        <w14:ligatures w14:val="standardContextual"/>
      </w:rPr>
      <w:t>-</w:t>
    </w:r>
    <w:r w:rsidRPr="00913159">
      <w:rPr>
        <w:rFonts w:ascii="Cambria" w:eastAsia="Times New Roman" w:hAnsi="Cambria" w:cs="Times New Roman"/>
        <w:b/>
        <w:bCs/>
        <w:color w:val="000000"/>
        <w:spacing w:val="-1"/>
        <w:kern w:val="2"/>
        <w:sz w:val="24"/>
        <w:lang w:val="en-ID" w:eastAsia="en-US"/>
        <w14:ligatures w14:val="standardContextual"/>
      </w:rPr>
      <w:t>2</w:t>
    </w:r>
    <w:r w:rsidRPr="00913159">
      <w:rPr>
        <w:rFonts w:ascii="Cambria" w:eastAsia="Times New Roman" w:hAnsi="Cambria" w:cs="Times New Roman"/>
        <w:b/>
        <w:bCs/>
        <w:color w:val="000000"/>
        <w:spacing w:val="1"/>
        <w:kern w:val="2"/>
        <w:sz w:val="24"/>
        <w:lang w:val="en-ID" w:eastAsia="en-US"/>
        <w14:ligatures w14:val="standardContextual"/>
      </w:rPr>
      <w:t>9</w:t>
    </w:r>
    <w:r w:rsidRPr="00913159">
      <w:rPr>
        <w:rFonts w:ascii="Cambria" w:eastAsia="Times New Roman" w:hAnsi="Cambria" w:cs="Times New Roman"/>
        <w:b/>
        <w:bCs/>
        <w:color w:val="000000"/>
        <w:kern w:val="2"/>
        <w:sz w:val="24"/>
        <w:lang w:val="en-ID" w:eastAsia="en-US"/>
        <w14:ligatures w14:val="standardContextual"/>
      </w:rPr>
      <w:t>5</w:t>
    </w:r>
    <w:r w:rsidRPr="00913159">
      <w:rPr>
        <w:rFonts w:ascii="Cambria" w:eastAsia="Times New Roman" w:hAnsi="Cambria" w:cs="Times New Roman"/>
        <w:b/>
        <w:bCs/>
        <w:color w:val="000000"/>
        <w:spacing w:val="-1"/>
        <w:kern w:val="2"/>
        <w:sz w:val="24"/>
        <w:lang w:val="en-ID" w:eastAsia="en-US"/>
        <w14:ligatures w14:val="standardContextual"/>
      </w:rPr>
      <w:t xml:space="preserve"> </w:t>
    </w:r>
    <w:r w:rsidRPr="00913159">
      <w:rPr>
        <w:rFonts w:ascii="Cambria" w:eastAsia="Times New Roman" w:hAnsi="Cambria" w:cs="Times New Roman"/>
        <w:b/>
        <w:bCs/>
        <w:color w:val="000000"/>
        <w:spacing w:val="1"/>
        <w:kern w:val="2"/>
        <w:sz w:val="24"/>
        <w:lang w:val="en-ID" w:eastAsia="en-US"/>
        <w14:ligatures w14:val="standardContextual"/>
      </w:rPr>
      <w:t>E</w:t>
    </w:r>
    <w:r w:rsidRPr="00913159">
      <w:rPr>
        <w:rFonts w:ascii="Cambria" w:eastAsia="Times New Roman" w:hAnsi="Cambria" w:cs="Times New Roman"/>
        <w:b/>
        <w:bCs/>
        <w:color w:val="000000"/>
        <w:kern w:val="2"/>
        <w:sz w:val="24"/>
        <w:lang w:val="en-ID" w:eastAsia="en-US"/>
        <w14:ligatures w14:val="standardContextual"/>
      </w:rPr>
      <w:t>-</w:t>
    </w:r>
    <w:r w:rsidRPr="00913159">
      <w:rPr>
        <w:rFonts w:ascii="Cambria" w:eastAsia="Times New Roman" w:hAnsi="Cambria" w:cs="Times New Roman"/>
        <w:b/>
        <w:bCs/>
        <w:color w:val="000000"/>
        <w:spacing w:val="-1"/>
        <w:kern w:val="2"/>
        <w:sz w:val="24"/>
        <w:lang w:val="en-ID" w:eastAsia="en-US"/>
        <w14:ligatures w14:val="standardContextual"/>
      </w:rPr>
      <w:t>I</w:t>
    </w:r>
    <w:r w:rsidRPr="00913159">
      <w:rPr>
        <w:rFonts w:ascii="Cambria" w:eastAsia="Times New Roman" w:hAnsi="Cambria" w:cs="Times New Roman"/>
        <w:b/>
        <w:bCs/>
        <w:color w:val="000000"/>
        <w:spacing w:val="1"/>
        <w:kern w:val="2"/>
        <w:sz w:val="24"/>
        <w:lang w:val="en-ID" w:eastAsia="en-US"/>
        <w14:ligatures w14:val="standardContextual"/>
      </w:rPr>
      <w:t>SS</w:t>
    </w:r>
    <w:r w:rsidRPr="00913159">
      <w:rPr>
        <w:rFonts w:ascii="Cambria" w:eastAsia="Times New Roman" w:hAnsi="Cambria" w:cs="Times New Roman"/>
        <w:b/>
        <w:bCs/>
        <w:color w:val="000000"/>
        <w:kern w:val="2"/>
        <w:sz w:val="24"/>
        <w:lang w:val="en-ID" w:eastAsia="en-US"/>
        <w14:ligatures w14:val="standardContextual"/>
      </w:rPr>
      <w:t xml:space="preserve">N </w:t>
    </w:r>
    <w:r w:rsidRPr="00913159">
      <w:rPr>
        <w:rFonts w:ascii="Cambria" w:eastAsia="Times New Roman" w:hAnsi="Cambria" w:cs="Times New Roman"/>
        <w:b/>
        <w:bCs/>
        <w:color w:val="000000"/>
        <w:spacing w:val="-1"/>
        <w:kern w:val="2"/>
        <w:sz w:val="24"/>
        <w:lang w:val="en-ID" w:eastAsia="en-US"/>
        <w14:ligatures w14:val="standardContextual"/>
      </w:rPr>
      <w:t>27</w:t>
    </w:r>
    <w:r w:rsidRPr="00913159">
      <w:rPr>
        <w:rFonts w:ascii="Cambria" w:eastAsia="Times New Roman" w:hAnsi="Cambria" w:cs="Times New Roman"/>
        <w:b/>
        <w:bCs/>
        <w:color w:val="000000"/>
        <w:spacing w:val="1"/>
        <w:kern w:val="2"/>
        <w:sz w:val="24"/>
        <w:lang w:val="en-ID" w:eastAsia="en-US"/>
        <w14:ligatures w14:val="standardContextual"/>
      </w:rPr>
      <w:t>4</w:t>
    </w:r>
    <w:r w:rsidRPr="00913159">
      <w:rPr>
        <w:rFonts w:ascii="Cambria" w:eastAsia="Times New Roman" w:hAnsi="Cambria" w:cs="Times New Roman"/>
        <w:b/>
        <w:bCs/>
        <w:color w:val="000000"/>
        <w:kern w:val="2"/>
        <w:sz w:val="24"/>
        <w:lang w:val="en-ID" w:eastAsia="en-US"/>
        <w14:ligatures w14:val="standardContextual"/>
      </w:rPr>
      <w:t>7-</w:t>
    </w:r>
    <w:r w:rsidRPr="00913159">
      <w:rPr>
        <w:rFonts w:ascii="Cambria" w:eastAsia="Times New Roman" w:hAnsi="Cambria" w:cs="Times New Roman"/>
        <w:b/>
        <w:bCs/>
        <w:color w:val="000000"/>
        <w:spacing w:val="1"/>
        <w:kern w:val="2"/>
        <w:sz w:val="24"/>
        <w:lang w:val="en-ID" w:eastAsia="en-US"/>
        <w14:ligatures w14:val="standardContextual"/>
      </w:rPr>
      <w:t>0</w:t>
    </w:r>
    <w:r w:rsidRPr="00913159">
      <w:rPr>
        <w:rFonts w:ascii="Cambria" w:eastAsia="Times New Roman" w:hAnsi="Cambria" w:cs="Times New Roman"/>
        <w:b/>
        <w:bCs/>
        <w:color w:val="000000"/>
        <w:spacing w:val="-1"/>
        <w:kern w:val="2"/>
        <w:sz w:val="24"/>
        <w:lang w:val="en-ID" w:eastAsia="en-US"/>
        <w14:ligatures w14:val="standardContextual"/>
      </w:rPr>
      <w:t>49</w:t>
    </w:r>
    <w:r w:rsidRPr="00913159">
      <w:rPr>
        <w:rFonts w:ascii="Cambria" w:eastAsia="Times New Roman" w:hAnsi="Cambria" w:cs="Times New Roman"/>
        <w:b/>
        <w:bCs/>
        <w:color w:val="000000"/>
        <w:kern w:val="2"/>
        <w:sz w:val="24"/>
        <w:lang w:val="en-ID" w:eastAsia="en-US"/>
        <w14:ligatures w14:val="standardContextual"/>
      </w:rPr>
      <w:t>0</w:t>
    </w:r>
  </w:p>
  <w:p w14:paraId="0F14947F" w14:textId="77777777" w:rsidR="00913159" w:rsidRPr="00913159" w:rsidRDefault="00913159" w:rsidP="00913159">
    <w:pPr>
      <w:widowControl w:val="0"/>
      <w:tabs>
        <w:tab w:val="center" w:pos="4680"/>
        <w:tab w:val="right" w:pos="9360"/>
      </w:tabs>
      <w:autoSpaceDE w:val="0"/>
      <w:autoSpaceDN w:val="0"/>
      <w:spacing w:after="0" w:line="240" w:lineRule="auto"/>
      <w:jc w:val="center"/>
      <w:rPr>
        <w:rFonts w:ascii="Times New Roman" w:eastAsia="Times New Roman" w:hAnsi="Times New Roman" w:cs="Times New Roman"/>
        <w:lang w:val="en-ID" w:eastAsia="en-US"/>
      </w:rPr>
    </w:pPr>
    <w:r w:rsidRPr="00913159">
      <w:rPr>
        <w:rFonts w:ascii="Cambria" w:eastAsia="SimSun" w:hAnsi="Cambria" w:cs="Times New Roman"/>
        <w:b/>
        <w:bCs/>
        <w:color w:val="000000"/>
        <w:kern w:val="2"/>
        <w:sz w:val="24"/>
        <w:lang w:val="en-ID" w:eastAsia="en-US"/>
        <w14:ligatures w14:val="standardContextual"/>
      </w:rPr>
      <w:t>D</w:t>
    </w:r>
    <w:r w:rsidRPr="00913159">
      <w:rPr>
        <w:rFonts w:ascii="Cambria" w:eastAsia="SimSun" w:hAnsi="Cambria" w:cs="Times New Roman"/>
        <w:b/>
        <w:bCs/>
        <w:color w:val="000000"/>
        <w:spacing w:val="-1"/>
        <w:kern w:val="2"/>
        <w:sz w:val="24"/>
        <w:lang w:val="en-ID" w:eastAsia="en-US"/>
        <w14:ligatures w14:val="standardContextual"/>
      </w:rPr>
      <w:t>OI</w:t>
    </w:r>
    <w:r w:rsidRPr="00913159">
      <w:rPr>
        <w:rFonts w:ascii="Cambria" w:eastAsia="SimSun" w:hAnsi="Cambria" w:cs="Times New Roman"/>
        <w:b/>
        <w:bCs/>
        <w:color w:val="000000"/>
        <w:kern w:val="2"/>
        <w:sz w:val="24"/>
        <w:lang w:val="en-ID" w:eastAsia="en-US"/>
        <w14:ligatures w14:val="standardContextual"/>
      </w:rPr>
      <w:t>:</w:t>
    </w:r>
    <w:r w:rsidRPr="00913159">
      <w:rPr>
        <w:rFonts w:ascii="Cambria" w:eastAsia="SimSun" w:hAnsi="Cambria" w:cs="Times New Roman"/>
        <w:b/>
        <w:bCs/>
        <w:color w:val="000000"/>
        <w:spacing w:val="1"/>
        <w:kern w:val="2"/>
        <w:sz w:val="24"/>
        <w:lang w:val="en-ID" w:eastAsia="en-US"/>
        <w14:ligatures w14:val="standardContextual"/>
      </w:rPr>
      <w:t xml:space="preserve"> </w:t>
    </w:r>
    <w:r w:rsidRPr="00913159">
      <w:rPr>
        <w:rFonts w:ascii="Cambria" w:eastAsia="SimSun" w:hAnsi="Cambria" w:cs="Cambria"/>
        <w:b/>
        <w:bCs/>
        <w:color w:val="000000"/>
        <w:spacing w:val="-1"/>
        <w:kern w:val="2"/>
        <w:sz w:val="24"/>
        <w:lang w:val="en-ID" w:eastAsia="en-US"/>
        <w14:ligatures w14:val="standardContextual"/>
      </w:rPr>
      <w:t>10</w:t>
    </w:r>
    <w:r w:rsidRPr="00913159">
      <w:rPr>
        <w:rFonts w:ascii="Cambria" w:eastAsia="SimSun" w:hAnsi="Cambria" w:cs="Cambria"/>
        <w:b/>
        <w:bCs/>
        <w:color w:val="000000"/>
        <w:spacing w:val="1"/>
        <w:kern w:val="2"/>
        <w:sz w:val="24"/>
        <w:lang w:val="en-ID" w:eastAsia="en-US"/>
        <w14:ligatures w14:val="standardContextual"/>
      </w:rPr>
      <w:t>4</w:t>
    </w:r>
    <w:r w:rsidRPr="00913159">
      <w:rPr>
        <w:rFonts w:ascii="Cambria" w:eastAsia="SimSun" w:hAnsi="Cambria" w:cs="Cambria"/>
        <w:b/>
        <w:bCs/>
        <w:color w:val="000000"/>
        <w:spacing w:val="-1"/>
        <w:kern w:val="2"/>
        <w:sz w:val="24"/>
        <w:lang w:val="en-ID" w:eastAsia="en-US"/>
        <w14:ligatures w14:val="standardContextual"/>
      </w:rPr>
      <w:t>7</w:t>
    </w:r>
    <w:r w:rsidRPr="00913159">
      <w:rPr>
        <w:rFonts w:ascii="Cambria" w:eastAsia="SimSun" w:hAnsi="Cambria" w:cs="Cambria"/>
        <w:b/>
        <w:bCs/>
        <w:color w:val="000000"/>
        <w:spacing w:val="1"/>
        <w:kern w:val="2"/>
        <w:sz w:val="24"/>
        <w:lang w:val="en-ID" w:eastAsia="en-US"/>
        <w14:ligatures w14:val="standardContextual"/>
      </w:rPr>
      <w:t>4</w:t>
    </w:r>
    <w:r w:rsidRPr="00913159">
      <w:rPr>
        <w:rFonts w:ascii="Cambria" w:eastAsia="SimSun" w:hAnsi="Cambria" w:cs="Cambria"/>
        <w:b/>
        <w:bCs/>
        <w:color w:val="000000"/>
        <w:spacing w:val="-1"/>
        <w:kern w:val="2"/>
        <w:sz w:val="24"/>
        <w:lang w:val="en-ID" w:eastAsia="en-US"/>
        <w14:ligatures w14:val="standardContextual"/>
      </w:rPr>
      <w:t>67</w:t>
    </w:r>
    <w:r w:rsidRPr="00913159">
      <w:rPr>
        <w:rFonts w:ascii="Cambria" w:eastAsia="SimSun" w:hAnsi="Cambria" w:cs="Cambria"/>
        <w:b/>
        <w:bCs/>
        <w:color w:val="000000"/>
        <w:kern w:val="2"/>
        <w:sz w:val="24"/>
        <w:lang w:val="id-ID" w:eastAsia="en-US"/>
        <w14:ligatures w14:val="standardContextual"/>
      </w:rPr>
      <w:t>/</w:t>
    </w:r>
    <w:proofErr w:type="spellStart"/>
    <w:proofErr w:type="gramStart"/>
    <w:r w:rsidRPr="00913159">
      <w:rPr>
        <w:rFonts w:ascii="Cambria" w:eastAsia="SimSun" w:hAnsi="Cambria" w:cs="Cambria"/>
        <w:b/>
        <w:bCs/>
        <w:color w:val="000000"/>
        <w:kern w:val="2"/>
        <w:sz w:val="24"/>
        <w:lang w:val="en-ID" w:eastAsia="en-US"/>
        <w14:ligatures w14:val="standardContextual"/>
      </w:rPr>
      <w:t>elmal</w:t>
    </w:r>
    <w:proofErr w:type="spellEnd"/>
    <w:r w:rsidRPr="00913159">
      <w:rPr>
        <w:rFonts w:ascii="Cambria" w:eastAsia="SimSun" w:hAnsi="Cambria" w:cs="Cambria"/>
        <w:b/>
        <w:bCs/>
        <w:color w:val="000000"/>
        <w:spacing w:val="1"/>
        <w:kern w:val="2"/>
        <w:sz w:val="24"/>
        <w:lang w:val="id-ID" w:eastAsia="en-US"/>
        <w14:ligatures w14:val="standardContextual"/>
      </w:rPr>
      <w:t>.</w:t>
    </w:r>
    <w:r w:rsidRPr="00913159">
      <w:rPr>
        <w:rFonts w:ascii="Cambria" w:eastAsia="SimSun" w:hAnsi="Cambria" w:cs="Cambria"/>
        <w:b/>
        <w:bCs/>
        <w:color w:val="000000"/>
        <w:spacing w:val="-1"/>
        <w:kern w:val="2"/>
        <w:sz w:val="24"/>
        <w:lang w:val="en-ID" w:eastAsia="en-US"/>
        <w14:ligatures w14:val="standardContextual"/>
      </w:rPr>
      <w:t>v</w:t>
    </w:r>
    <w:proofErr w:type="gramEnd"/>
    <w:r w:rsidRPr="00913159">
      <w:rPr>
        <w:rFonts w:ascii="Cambria" w:eastAsia="SimSun" w:hAnsi="Cambria" w:cs="Cambria"/>
        <w:b/>
        <w:bCs/>
        <w:color w:val="000000"/>
        <w:spacing w:val="-1"/>
        <w:kern w:val="2"/>
        <w:sz w:val="24"/>
        <w:lang w:val="id-ID" w:eastAsia="en-US"/>
        <w14:ligatures w14:val="standardContextual"/>
      </w:rPr>
      <w:t>7</w:t>
    </w:r>
    <w:r w:rsidRPr="00913159">
      <w:rPr>
        <w:rFonts w:ascii="Cambria" w:eastAsia="SimSun" w:hAnsi="Cambria" w:cs="Cambria"/>
        <w:b/>
        <w:bCs/>
        <w:color w:val="000000"/>
        <w:kern w:val="2"/>
        <w:sz w:val="24"/>
        <w:lang w:val="en-ID" w:eastAsia="en-US"/>
        <w14:ligatures w14:val="standardContextual"/>
      </w:rPr>
      <w:t>i8.12188</w:t>
    </w:r>
    <w:r w:rsidRPr="00913159">
      <w:rPr>
        <w:rFonts w:ascii="Times New Roman" w:eastAsia="Meiryo" w:hAnsi="Times New Roman" w:cs="Times New Roman"/>
        <w:b/>
        <w:bCs/>
        <w:color w:val="000000"/>
        <w:kern w:val="2"/>
        <w:sz w:val="24"/>
        <w:lang w:val="id-ID" w:eastAsia="en-US"/>
        <w14:ligatures w14:val="standardContextual"/>
      </w:rPr>
      <w:fldChar w:fldCharType="end"/>
    </w:r>
    <w:bookmarkEnd w:id="21"/>
  </w:p>
  <w:p w14:paraId="5CE95F58" w14:textId="2E82961D" w:rsidR="004355A2" w:rsidRPr="00913159" w:rsidRDefault="004355A2" w:rsidP="009131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DBF09" w14:textId="77777777" w:rsidR="004355A2" w:rsidRDefault="004355A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E3242"/>
    <w:multiLevelType w:val="hybridMultilevel"/>
    <w:tmpl w:val="967A62D2"/>
    <w:lvl w:ilvl="0" w:tplc="1C2E76DA">
      <w:start w:val="3"/>
      <w:numFmt w:val="low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9A3B4B"/>
    <w:multiLevelType w:val="hybridMultilevel"/>
    <w:tmpl w:val="822C5F4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98267D4"/>
    <w:multiLevelType w:val="hybridMultilevel"/>
    <w:tmpl w:val="09C08EA4"/>
    <w:lvl w:ilvl="0" w:tplc="776A88C2">
      <w:start w:val="5"/>
      <w:numFmt w:val="low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F67BA1"/>
    <w:multiLevelType w:val="hybridMultilevel"/>
    <w:tmpl w:val="23C0D39C"/>
    <w:lvl w:ilvl="0" w:tplc="43CC6C66">
      <w:start w:val="5"/>
      <w:numFmt w:val="upperLetter"/>
      <w:lvlText w:val="%1."/>
      <w:lvlJc w:val="left"/>
      <w:pPr>
        <w:tabs>
          <w:tab w:val="num" w:pos="360"/>
        </w:tabs>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4" w15:restartNumberingAfterBreak="0">
    <w:nsid w:val="12753E34"/>
    <w:multiLevelType w:val="hybridMultilevel"/>
    <w:tmpl w:val="16448036"/>
    <w:lvl w:ilvl="0" w:tplc="6C5805AE">
      <w:start w:val="2"/>
      <w:numFmt w:val="low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9307DA"/>
    <w:multiLevelType w:val="hybridMultilevel"/>
    <w:tmpl w:val="8E5CD10E"/>
    <w:lvl w:ilvl="0" w:tplc="38090019">
      <w:start w:val="1"/>
      <w:numFmt w:val="lowerLetter"/>
      <w:lvlText w:val="%1."/>
      <w:lvlJc w:val="left"/>
      <w:pPr>
        <w:ind w:left="2140" w:hanging="360"/>
      </w:pPr>
      <w:rPr>
        <w:b w:val="0"/>
        <w:bCs w:val="0"/>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6" w15:restartNumberingAfterBreak="0">
    <w:nsid w:val="16BD7982"/>
    <w:multiLevelType w:val="hybridMultilevel"/>
    <w:tmpl w:val="FFFFFFFF"/>
    <w:lvl w:ilvl="0" w:tplc="FFFFFFFF">
      <w:start w:val="1"/>
      <w:numFmt w:val="decimal"/>
      <w:lvlText w:val="%1."/>
      <w:lvlJc w:val="left"/>
      <w:pPr>
        <w:ind w:left="720" w:hanging="360"/>
      </w:pPr>
      <w:rPr>
        <w:rFonts w:cs="Times New Roman"/>
      </w:rPr>
    </w:lvl>
    <w:lvl w:ilvl="1" w:tplc="FFFFFFFF">
      <w:start w:val="1"/>
      <w:numFmt w:val="decimal"/>
      <w:lvlText w:val="%2."/>
      <w:lvlJc w:val="left"/>
      <w:pPr>
        <w:ind w:left="1440" w:hanging="360"/>
      </w:pPr>
      <w:rPr>
        <w:rFonts w:cs="Times New Roman"/>
      </w:rPr>
    </w:lvl>
    <w:lvl w:ilvl="2" w:tplc="FFFFFFFF">
      <w:start w:val="1"/>
      <w:numFmt w:val="lowerLetter"/>
      <w:lvlText w:val="%3."/>
      <w:lvlJc w:val="left"/>
      <w:pPr>
        <w:ind w:left="2340" w:hanging="36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1C4A6EAF"/>
    <w:multiLevelType w:val="hybridMultilevel"/>
    <w:tmpl w:val="FFFFFFFF"/>
    <w:lvl w:ilvl="0" w:tplc="FFFFFFFF">
      <w:start w:val="3"/>
      <w:numFmt w:val="decimal"/>
      <w:lvlText w:val="%1."/>
      <w:lvlJc w:val="left"/>
      <w:pPr>
        <w:ind w:left="324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F1220B3"/>
    <w:multiLevelType w:val="hybridMultilevel"/>
    <w:tmpl w:val="FFFFFFFF"/>
    <w:lvl w:ilvl="0" w:tplc="35C6449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873ABC"/>
    <w:multiLevelType w:val="hybridMultilevel"/>
    <w:tmpl w:val="C6F43606"/>
    <w:lvl w:ilvl="0" w:tplc="FD70539C">
      <w:start w:val="1"/>
      <w:numFmt w:val="upperLetter"/>
      <w:lvlText w:val="%1."/>
      <w:lvlJc w:val="left"/>
      <w:pPr>
        <w:ind w:left="928" w:hanging="360"/>
      </w:pPr>
      <w:rPr>
        <w:b/>
      </w:rPr>
    </w:lvl>
    <w:lvl w:ilvl="1" w:tplc="6AE8C310">
      <w:start w:val="1"/>
      <w:numFmt w:val="decimal"/>
      <w:lvlText w:val="%2)"/>
      <w:lvlJc w:val="left"/>
      <w:pPr>
        <w:ind w:left="1440" w:hanging="360"/>
      </w:pPr>
      <w:rPr>
        <w:rFonts w:ascii="Times New Roman" w:hAnsi="Times New Roman" w:cs="Times New Roman" w:hint="default"/>
        <w:b w:val="0"/>
        <w:sz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7B404A0">
      <w:start w:val="1"/>
      <w:numFmt w:val="lowerLetter"/>
      <w:lvlText w:val="%5."/>
      <w:lvlJc w:val="left"/>
      <w:pPr>
        <w:ind w:left="3600" w:hanging="360"/>
      </w:pPr>
      <w:rPr>
        <w:rFonts w:hint="default"/>
        <w:b w:val="0"/>
        <w:i w:val="0"/>
      </w:rPr>
    </w:lvl>
    <w:lvl w:ilvl="5" w:tplc="8BDCDCD6">
      <w:start w:val="1"/>
      <w:numFmt w:val="lowerLetter"/>
      <w:lvlText w:val="%6)"/>
      <w:lvlJc w:val="left"/>
      <w:pPr>
        <w:ind w:left="4500" w:hanging="360"/>
      </w:pPr>
      <w:rPr>
        <w:rFonts w:ascii="Times New Roman" w:hAnsi="Times New Roman" w:cs="Times New Roman" w:hint="default"/>
        <w:b w:val="0"/>
        <w:sz w:val="24"/>
      </w:rPr>
    </w:lvl>
    <w:lvl w:ilvl="6" w:tplc="04090019">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43726"/>
    <w:multiLevelType w:val="hybridMultilevel"/>
    <w:tmpl w:val="49E2DC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84786A"/>
    <w:multiLevelType w:val="multilevel"/>
    <w:tmpl w:val="770675C6"/>
    <w:lvl w:ilvl="0">
      <w:start w:val="1"/>
      <w:numFmt w:val="upperLetter"/>
      <w:lvlText w:val="%1."/>
      <w:lvlJc w:val="left"/>
      <w:pPr>
        <w:ind w:left="720" w:hanging="360"/>
      </w:pPr>
      <w:rPr>
        <w:rFonts w:ascii="Times New Roman" w:eastAsia="Times New Roman" w:hAnsi="Times New Roman" w:cs="Times New Roman"/>
        <w:i w:val="0"/>
      </w:rPr>
    </w:lvl>
    <w:lvl w:ilvl="1">
      <w:start w:val="2"/>
      <w:numFmt w:val="upperRoman"/>
      <w:lvlText w:val="%2."/>
      <w:lvlJc w:val="left"/>
      <w:pPr>
        <w:ind w:left="1800" w:hanging="72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i w:val="0"/>
      </w:rPr>
    </w:lvl>
    <w:lvl w:ilvl="4">
      <w:start w:val="1"/>
      <w:numFmt w:val="lowerLetter"/>
      <w:lvlText w:val="%5."/>
      <w:lvlJc w:val="left"/>
      <w:pPr>
        <w:ind w:left="1637" w:hanging="360"/>
      </w:pPr>
      <w:rPr>
        <w:rFonts w:cs="Times New Roman" w:hint="default"/>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BFF1C06"/>
    <w:multiLevelType w:val="hybridMultilevel"/>
    <w:tmpl w:val="5D16AC96"/>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 w15:restartNumberingAfterBreak="0">
    <w:nsid w:val="3262213F"/>
    <w:multiLevelType w:val="multilevel"/>
    <w:tmpl w:val="FFFFFFFF"/>
    <w:lvl w:ilvl="0">
      <w:start w:val="1"/>
      <w:numFmt w:val="decimal"/>
      <w:lvlText w:val="%1."/>
      <w:lvlJc w:val="left"/>
      <w:pPr>
        <w:ind w:left="1494" w:hanging="360"/>
      </w:pPr>
      <w:rPr>
        <w:rFonts w:cs="Times New Roman"/>
      </w:rPr>
    </w:lvl>
    <w:lvl w:ilvl="1">
      <w:start w:val="1"/>
      <w:numFmt w:val="lowerLetter"/>
      <w:lvlText w:val="%2."/>
      <w:lvlJc w:val="left"/>
      <w:pPr>
        <w:ind w:left="2214" w:hanging="360"/>
      </w:pPr>
      <w:rPr>
        <w:rFonts w:cs="Times New Roman"/>
      </w:rPr>
    </w:lvl>
    <w:lvl w:ilvl="2">
      <w:start w:val="1"/>
      <w:numFmt w:val="lowerRoman"/>
      <w:lvlText w:val="%3."/>
      <w:lvlJc w:val="right"/>
      <w:pPr>
        <w:ind w:left="2934" w:hanging="180"/>
      </w:pPr>
      <w:rPr>
        <w:rFonts w:cs="Times New Roman"/>
      </w:rPr>
    </w:lvl>
    <w:lvl w:ilvl="3">
      <w:start w:val="1"/>
      <w:numFmt w:val="decimal"/>
      <w:lvlText w:val="%4."/>
      <w:lvlJc w:val="left"/>
      <w:pPr>
        <w:ind w:left="3654" w:hanging="360"/>
      </w:pPr>
      <w:rPr>
        <w:rFonts w:cs="Times New Roman"/>
      </w:rPr>
    </w:lvl>
    <w:lvl w:ilvl="4">
      <w:start w:val="1"/>
      <w:numFmt w:val="lowerLetter"/>
      <w:lvlText w:val="%5."/>
      <w:lvlJc w:val="left"/>
      <w:pPr>
        <w:ind w:left="4374" w:hanging="360"/>
      </w:pPr>
      <w:rPr>
        <w:rFonts w:cs="Times New Roman"/>
      </w:rPr>
    </w:lvl>
    <w:lvl w:ilvl="5">
      <w:start w:val="1"/>
      <w:numFmt w:val="lowerRoman"/>
      <w:lvlText w:val="%6."/>
      <w:lvlJc w:val="right"/>
      <w:pPr>
        <w:ind w:left="5094" w:hanging="180"/>
      </w:pPr>
      <w:rPr>
        <w:rFonts w:cs="Times New Roman"/>
      </w:rPr>
    </w:lvl>
    <w:lvl w:ilvl="6">
      <w:start w:val="1"/>
      <w:numFmt w:val="decimal"/>
      <w:lvlText w:val="%7."/>
      <w:lvlJc w:val="left"/>
      <w:pPr>
        <w:ind w:left="5814" w:hanging="360"/>
      </w:pPr>
      <w:rPr>
        <w:rFonts w:cs="Times New Roman"/>
      </w:rPr>
    </w:lvl>
    <w:lvl w:ilvl="7">
      <w:start w:val="1"/>
      <w:numFmt w:val="lowerLetter"/>
      <w:lvlText w:val="%8."/>
      <w:lvlJc w:val="left"/>
      <w:pPr>
        <w:ind w:left="6534" w:hanging="360"/>
      </w:pPr>
      <w:rPr>
        <w:rFonts w:cs="Times New Roman"/>
      </w:rPr>
    </w:lvl>
    <w:lvl w:ilvl="8">
      <w:start w:val="1"/>
      <w:numFmt w:val="lowerRoman"/>
      <w:lvlText w:val="%9."/>
      <w:lvlJc w:val="right"/>
      <w:pPr>
        <w:ind w:left="7254" w:hanging="180"/>
      </w:pPr>
      <w:rPr>
        <w:rFonts w:cs="Times New Roman"/>
      </w:rPr>
    </w:lvl>
  </w:abstractNum>
  <w:abstractNum w:abstractNumId="14" w15:restartNumberingAfterBreak="0">
    <w:nsid w:val="32650FA9"/>
    <w:multiLevelType w:val="hybridMultilevel"/>
    <w:tmpl w:val="FFFFFFFF"/>
    <w:lvl w:ilvl="0" w:tplc="FFFFFFFF">
      <w:start w:val="3"/>
      <w:numFmt w:val="decimal"/>
      <w:lvlText w:val="%1."/>
      <w:lvlJc w:val="left"/>
      <w:pPr>
        <w:ind w:left="786"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 w15:restartNumberingAfterBreak="0">
    <w:nsid w:val="350964C8"/>
    <w:multiLevelType w:val="hybridMultilevel"/>
    <w:tmpl w:val="F1C24632"/>
    <w:lvl w:ilvl="0" w:tplc="4B543B08">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350A7FB7"/>
    <w:multiLevelType w:val="multilevel"/>
    <w:tmpl w:val="EA427F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A53780"/>
    <w:multiLevelType w:val="hybridMultilevel"/>
    <w:tmpl w:val="FFFFFFFF"/>
    <w:lvl w:ilvl="0" w:tplc="3BC43ED4">
      <w:start w:val="2"/>
      <w:numFmt w:val="decimal"/>
      <w:lvlText w:val="%1)"/>
      <w:lvlJc w:val="left"/>
      <w:pPr>
        <w:tabs>
          <w:tab w:val="num" w:pos="1683"/>
        </w:tabs>
        <w:ind w:left="1683" w:hanging="360"/>
      </w:pPr>
      <w:rPr>
        <w:rFonts w:cs="Times New Roman" w:hint="default"/>
      </w:rPr>
    </w:lvl>
    <w:lvl w:ilvl="1" w:tplc="04090019" w:tentative="1">
      <w:start w:val="1"/>
      <w:numFmt w:val="lowerLetter"/>
      <w:lvlText w:val="%2."/>
      <w:lvlJc w:val="left"/>
      <w:pPr>
        <w:tabs>
          <w:tab w:val="num" w:pos="2403"/>
        </w:tabs>
        <w:ind w:left="2403" w:hanging="360"/>
      </w:pPr>
      <w:rPr>
        <w:rFonts w:cs="Times New Roman"/>
      </w:rPr>
    </w:lvl>
    <w:lvl w:ilvl="2" w:tplc="0409001B" w:tentative="1">
      <w:start w:val="1"/>
      <w:numFmt w:val="lowerRoman"/>
      <w:lvlText w:val="%3."/>
      <w:lvlJc w:val="right"/>
      <w:pPr>
        <w:tabs>
          <w:tab w:val="num" w:pos="3123"/>
        </w:tabs>
        <w:ind w:left="3123" w:hanging="180"/>
      </w:pPr>
      <w:rPr>
        <w:rFonts w:cs="Times New Roman"/>
      </w:rPr>
    </w:lvl>
    <w:lvl w:ilvl="3" w:tplc="0409000F" w:tentative="1">
      <w:start w:val="1"/>
      <w:numFmt w:val="decimal"/>
      <w:lvlText w:val="%4."/>
      <w:lvlJc w:val="left"/>
      <w:pPr>
        <w:tabs>
          <w:tab w:val="num" w:pos="3843"/>
        </w:tabs>
        <w:ind w:left="3843" w:hanging="360"/>
      </w:pPr>
      <w:rPr>
        <w:rFonts w:cs="Times New Roman"/>
      </w:rPr>
    </w:lvl>
    <w:lvl w:ilvl="4" w:tplc="04090019" w:tentative="1">
      <w:start w:val="1"/>
      <w:numFmt w:val="lowerLetter"/>
      <w:lvlText w:val="%5."/>
      <w:lvlJc w:val="left"/>
      <w:pPr>
        <w:tabs>
          <w:tab w:val="num" w:pos="4563"/>
        </w:tabs>
        <w:ind w:left="4563" w:hanging="360"/>
      </w:pPr>
      <w:rPr>
        <w:rFonts w:cs="Times New Roman"/>
      </w:rPr>
    </w:lvl>
    <w:lvl w:ilvl="5" w:tplc="0409001B" w:tentative="1">
      <w:start w:val="1"/>
      <w:numFmt w:val="lowerRoman"/>
      <w:lvlText w:val="%6."/>
      <w:lvlJc w:val="right"/>
      <w:pPr>
        <w:tabs>
          <w:tab w:val="num" w:pos="5283"/>
        </w:tabs>
        <w:ind w:left="5283" w:hanging="180"/>
      </w:pPr>
      <w:rPr>
        <w:rFonts w:cs="Times New Roman"/>
      </w:rPr>
    </w:lvl>
    <w:lvl w:ilvl="6" w:tplc="0409000F" w:tentative="1">
      <w:start w:val="1"/>
      <w:numFmt w:val="decimal"/>
      <w:lvlText w:val="%7."/>
      <w:lvlJc w:val="left"/>
      <w:pPr>
        <w:tabs>
          <w:tab w:val="num" w:pos="6003"/>
        </w:tabs>
        <w:ind w:left="6003" w:hanging="360"/>
      </w:pPr>
      <w:rPr>
        <w:rFonts w:cs="Times New Roman"/>
      </w:rPr>
    </w:lvl>
    <w:lvl w:ilvl="7" w:tplc="04090019" w:tentative="1">
      <w:start w:val="1"/>
      <w:numFmt w:val="lowerLetter"/>
      <w:lvlText w:val="%8."/>
      <w:lvlJc w:val="left"/>
      <w:pPr>
        <w:tabs>
          <w:tab w:val="num" w:pos="6723"/>
        </w:tabs>
        <w:ind w:left="6723" w:hanging="360"/>
      </w:pPr>
      <w:rPr>
        <w:rFonts w:cs="Times New Roman"/>
      </w:rPr>
    </w:lvl>
    <w:lvl w:ilvl="8" w:tplc="0409001B" w:tentative="1">
      <w:start w:val="1"/>
      <w:numFmt w:val="lowerRoman"/>
      <w:lvlText w:val="%9."/>
      <w:lvlJc w:val="right"/>
      <w:pPr>
        <w:tabs>
          <w:tab w:val="num" w:pos="7443"/>
        </w:tabs>
        <w:ind w:left="7443" w:hanging="180"/>
      </w:pPr>
      <w:rPr>
        <w:rFonts w:cs="Times New Roman"/>
      </w:rPr>
    </w:lvl>
  </w:abstractNum>
  <w:abstractNum w:abstractNumId="18" w15:restartNumberingAfterBreak="0">
    <w:nsid w:val="3C5A0BA7"/>
    <w:multiLevelType w:val="multilevel"/>
    <w:tmpl w:val="87706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FAC5811"/>
    <w:multiLevelType w:val="hybridMultilevel"/>
    <w:tmpl w:val="FFFFFFFF"/>
    <w:lvl w:ilvl="0" w:tplc="FFFFFFFF">
      <w:start w:val="2"/>
      <w:numFmt w:val="upperLetter"/>
      <w:lvlText w:val="%1."/>
      <w:lvlJc w:val="left"/>
      <w:pPr>
        <w:ind w:left="360" w:hanging="360"/>
      </w:pPr>
      <w:rPr>
        <w:rFonts w:cs="Times New Roman"/>
        <w:sz w:val="24"/>
        <w:szCs w:val="24"/>
      </w:rPr>
    </w:lvl>
    <w:lvl w:ilvl="1" w:tplc="FFFFFFFF">
      <w:start w:val="1"/>
      <w:numFmt w:val="lowerLetter"/>
      <w:lvlText w:val="%2."/>
      <w:lvlJc w:val="left"/>
      <w:pPr>
        <w:ind w:left="2520" w:hanging="360"/>
      </w:pPr>
      <w:rPr>
        <w:rFonts w:cs="Times New Roman"/>
      </w:rPr>
    </w:lvl>
    <w:lvl w:ilvl="2" w:tplc="FFFFFFFF">
      <w:start w:val="1"/>
      <w:numFmt w:val="lowerRoman"/>
      <w:lvlText w:val="%3."/>
      <w:lvlJc w:val="right"/>
      <w:pPr>
        <w:ind w:left="3240" w:hanging="180"/>
      </w:pPr>
      <w:rPr>
        <w:rFonts w:cs="Times New Roman"/>
      </w:rPr>
    </w:lvl>
    <w:lvl w:ilvl="3" w:tplc="FFFFFFFF">
      <w:start w:val="1"/>
      <w:numFmt w:val="decimal"/>
      <w:lvlText w:val="%4."/>
      <w:lvlJc w:val="left"/>
      <w:pPr>
        <w:ind w:left="3960" w:hanging="360"/>
      </w:pPr>
      <w:rPr>
        <w:rFonts w:cs="Times New Roman"/>
      </w:rPr>
    </w:lvl>
    <w:lvl w:ilvl="4" w:tplc="FFFFFFFF">
      <w:start w:val="1"/>
      <w:numFmt w:val="lowerLetter"/>
      <w:lvlText w:val="%5."/>
      <w:lvlJc w:val="left"/>
      <w:pPr>
        <w:ind w:left="4680" w:hanging="360"/>
      </w:pPr>
      <w:rPr>
        <w:rFonts w:cs="Times New Roman"/>
      </w:rPr>
    </w:lvl>
    <w:lvl w:ilvl="5" w:tplc="FFFFFFFF">
      <w:start w:val="1"/>
      <w:numFmt w:val="lowerRoman"/>
      <w:lvlText w:val="%6."/>
      <w:lvlJc w:val="right"/>
      <w:pPr>
        <w:ind w:left="5400" w:hanging="180"/>
      </w:pPr>
      <w:rPr>
        <w:rFonts w:cs="Times New Roman"/>
      </w:rPr>
    </w:lvl>
    <w:lvl w:ilvl="6" w:tplc="FFFFFFFF">
      <w:start w:val="1"/>
      <w:numFmt w:val="decimal"/>
      <w:lvlText w:val="%7."/>
      <w:lvlJc w:val="left"/>
      <w:pPr>
        <w:ind w:left="6120" w:hanging="360"/>
      </w:pPr>
      <w:rPr>
        <w:rFonts w:cs="Times New Roman"/>
      </w:rPr>
    </w:lvl>
    <w:lvl w:ilvl="7" w:tplc="FFFFFFFF">
      <w:start w:val="1"/>
      <w:numFmt w:val="lowerLetter"/>
      <w:lvlText w:val="%8."/>
      <w:lvlJc w:val="left"/>
      <w:pPr>
        <w:ind w:left="6840" w:hanging="360"/>
      </w:pPr>
      <w:rPr>
        <w:rFonts w:cs="Times New Roman"/>
      </w:rPr>
    </w:lvl>
    <w:lvl w:ilvl="8" w:tplc="FFFFFFFF">
      <w:start w:val="1"/>
      <w:numFmt w:val="lowerRoman"/>
      <w:lvlText w:val="%9."/>
      <w:lvlJc w:val="right"/>
      <w:pPr>
        <w:ind w:left="7560" w:hanging="180"/>
      </w:pPr>
      <w:rPr>
        <w:rFonts w:cs="Times New Roman"/>
      </w:rPr>
    </w:lvl>
  </w:abstractNum>
  <w:abstractNum w:abstractNumId="20" w15:restartNumberingAfterBreak="0">
    <w:nsid w:val="43C05436"/>
    <w:multiLevelType w:val="hybridMultilevel"/>
    <w:tmpl w:val="268C1896"/>
    <w:lvl w:ilvl="0" w:tplc="3809000F">
      <w:start w:val="1"/>
      <w:numFmt w:val="decimal"/>
      <w:lvlText w:val="%1."/>
      <w:lvlJc w:val="left"/>
      <w:pPr>
        <w:ind w:left="2140" w:hanging="360"/>
      </w:pPr>
      <w:rPr>
        <w:b w:val="0"/>
        <w:bCs w:val="0"/>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1" w15:restartNumberingAfterBreak="0">
    <w:nsid w:val="45493714"/>
    <w:multiLevelType w:val="hybridMultilevel"/>
    <w:tmpl w:val="FFFFFFFF"/>
    <w:lvl w:ilvl="0" w:tplc="91A4EB8C">
      <w:start w:val="1"/>
      <w:numFmt w:val="decimal"/>
      <w:lvlText w:val="%1)"/>
      <w:lvlJc w:val="left"/>
      <w:pPr>
        <w:tabs>
          <w:tab w:val="num" w:pos="720"/>
        </w:tabs>
        <w:ind w:left="720" w:hanging="360"/>
      </w:pPr>
      <w:rPr>
        <w:rFonts w:ascii="Times New Roman" w:eastAsia="Times New Roman" w:hAnsi="Times New Roman" w:cs="Times New Roman"/>
      </w:rPr>
    </w:lvl>
    <w:lvl w:ilvl="1" w:tplc="6C30F74C">
      <w:start w:val="1"/>
      <w:numFmt w:val="decimal"/>
      <w:lvlText w:val="%2)"/>
      <w:lvlJc w:val="left"/>
      <w:pPr>
        <w:tabs>
          <w:tab w:val="num" w:pos="720"/>
        </w:tabs>
        <w:ind w:left="720" w:hanging="360"/>
      </w:pPr>
      <w:rPr>
        <w:rFonts w:cs="Times New Roman" w:hint="default"/>
      </w:rPr>
    </w:lvl>
    <w:lvl w:ilvl="2" w:tplc="0409001B">
      <w:start w:val="1"/>
      <w:numFmt w:val="lowerRoman"/>
      <w:lvlText w:val="%3."/>
      <w:lvlJc w:val="right"/>
      <w:pPr>
        <w:tabs>
          <w:tab w:val="num" w:pos="1440"/>
        </w:tabs>
        <w:ind w:left="1440" w:hanging="180"/>
      </w:pPr>
      <w:rPr>
        <w:rFonts w:cs="Times New Roman"/>
      </w:rPr>
    </w:lvl>
    <w:lvl w:ilvl="3" w:tplc="22D6F0F6">
      <w:start w:val="1"/>
      <w:numFmt w:val="lowerLetter"/>
      <w:lvlText w:val="%4)"/>
      <w:lvlJc w:val="left"/>
      <w:pPr>
        <w:tabs>
          <w:tab w:val="num" w:pos="4330"/>
        </w:tabs>
        <w:ind w:left="4330" w:hanging="360"/>
      </w:pPr>
      <w:rPr>
        <w:rFonts w:cs="Times New Roman" w:hint="default"/>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48547A8D"/>
    <w:multiLevelType w:val="multilevel"/>
    <w:tmpl w:val="FFFFFFFF"/>
    <w:lvl w:ilvl="0">
      <w:start w:val="2"/>
      <w:numFmt w:val="upperLetter"/>
      <w:lvlText w:val="%1."/>
      <w:lvlJc w:val="left"/>
      <w:pPr>
        <w:ind w:left="360" w:hanging="360"/>
      </w:pPr>
      <w:rPr>
        <w:rFonts w:cs="Times New Roman" w:hint="default"/>
        <w:b/>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3" w15:restartNumberingAfterBreak="0">
    <w:nsid w:val="489F43AD"/>
    <w:multiLevelType w:val="hybridMultilevel"/>
    <w:tmpl w:val="943E862C"/>
    <w:lvl w:ilvl="0" w:tplc="7A6E5BF4">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B5B0D040">
      <w:start w:val="1"/>
      <w:numFmt w:val="decimal"/>
      <w:lvlText w:val="%4)"/>
      <w:lvlJc w:val="left"/>
      <w:pPr>
        <w:tabs>
          <w:tab w:val="num" w:pos="2520"/>
        </w:tabs>
        <w:ind w:left="2520" w:hanging="36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8C3283D"/>
    <w:multiLevelType w:val="hybridMultilevel"/>
    <w:tmpl w:val="EB9A3C18"/>
    <w:lvl w:ilvl="0" w:tplc="E2C41088">
      <w:start w:val="1"/>
      <w:numFmt w:val="decimal"/>
      <w:lvlText w:val="%1."/>
      <w:lvlJc w:val="left"/>
      <w:pPr>
        <w:tabs>
          <w:tab w:val="num" w:pos="720"/>
        </w:tabs>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A4F7785"/>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6" w15:restartNumberingAfterBreak="0">
    <w:nsid w:val="4B431AC2"/>
    <w:multiLevelType w:val="hybridMultilevel"/>
    <w:tmpl w:val="FFFFFFFF"/>
    <w:lvl w:ilvl="0" w:tplc="3010325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7" w15:restartNumberingAfterBreak="0">
    <w:nsid w:val="4F2A3B83"/>
    <w:multiLevelType w:val="multilevel"/>
    <w:tmpl w:val="865E3C80"/>
    <w:lvl w:ilvl="0">
      <w:start w:val="1"/>
      <w:numFmt w:val="decimal"/>
      <w:lvlText w:val="%1)"/>
      <w:lvlJc w:val="left"/>
      <w:pPr>
        <w:ind w:left="4472" w:hanging="360"/>
      </w:pPr>
      <w:rPr>
        <w:rFonts w:ascii="Times New Roman" w:eastAsia="Times New Roman" w:hAnsi="Times New Roman" w:cs="Times New Roman"/>
      </w:rPr>
    </w:lvl>
    <w:lvl w:ilvl="1">
      <w:start w:val="1"/>
      <w:numFmt w:val="decimal"/>
      <w:lvlText w:val="%2)"/>
      <w:lvlJc w:val="left"/>
      <w:pPr>
        <w:ind w:left="720" w:hanging="360"/>
      </w:pPr>
    </w:lvl>
    <w:lvl w:ilvl="2">
      <w:start w:val="1"/>
      <w:numFmt w:val="lowerRoman"/>
      <w:lvlText w:val="%3."/>
      <w:lvlJc w:val="right"/>
      <w:pPr>
        <w:ind w:left="1440" w:hanging="180"/>
      </w:pPr>
    </w:lvl>
    <w:lvl w:ilvl="3">
      <w:start w:val="1"/>
      <w:numFmt w:val="lowerLetter"/>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8" w15:restartNumberingAfterBreak="0">
    <w:nsid w:val="5B12079E"/>
    <w:multiLevelType w:val="hybridMultilevel"/>
    <w:tmpl w:val="967C8DFA"/>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9" w15:restartNumberingAfterBreak="0">
    <w:nsid w:val="693B53AB"/>
    <w:multiLevelType w:val="hybridMultilevel"/>
    <w:tmpl w:val="FFFFFFFF"/>
    <w:lvl w:ilvl="0" w:tplc="FFFFFFFF">
      <w:start w:val="4"/>
      <w:numFmt w:val="decimal"/>
      <w:lvlText w:val="%1."/>
      <w:lvlJc w:val="left"/>
      <w:pPr>
        <w:ind w:left="786" w:hanging="360"/>
      </w:pPr>
      <w:rPr>
        <w:rFonts w:cs="Times New Roman"/>
      </w:rPr>
    </w:lvl>
    <w:lvl w:ilvl="1" w:tplc="FFFFFFFF">
      <w:start w:val="1"/>
      <w:numFmt w:val="lowerLetter"/>
      <w:lvlText w:val="%2."/>
      <w:lvlJc w:val="left"/>
      <w:pPr>
        <w:ind w:left="1506" w:hanging="360"/>
      </w:pPr>
      <w:rPr>
        <w:rFonts w:cs="Times New Roman"/>
      </w:rPr>
    </w:lvl>
    <w:lvl w:ilvl="2" w:tplc="FFFFFFFF">
      <w:start w:val="1"/>
      <w:numFmt w:val="lowerRoman"/>
      <w:lvlText w:val="%3."/>
      <w:lvlJc w:val="right"/>
      <w:pPr>
        <w:ind w:left="2226" w:hanging="180"/>
      </w:pPr>
      <w:rPr>
        <w:rFonts w:cs="Times New Roman"/>
      </w:rPr>
    </w:lvl>
    <w:lvl w:ilvl="3" w:tplc="FFFFFFFF">
      <w:start w:val="1"/>
      <w:numFmt w:val="decimal"/>
      <w:lvlText w:val="%4."/>
      <w:lvlJc w:val="left"/>
      <w:pPr>
        <w:ind w:left="2946" w:hanging="360"/>
      </w:pPr>
      <w:rPr>
        <w:rFonts w:cs="Times New Roman"/>
      </w:rPr>
    </w:lvl>
    <w:lvl w:ilvl="4" w:tplc="FFFFFFFF">
      <w:start w:val="1"/>
      <w:numFmt w:val="lowerLetter"/>
      <w:lvlText w:val="%5."/>
      <w:lvlJc w:val="left"/>
      <w:pPr>
        <w:ind w:left="3666" w:hanging="360"/>
      </w:pPr>
      <w:rPr>
        <w:rFonts w:cs="Times New Roman"/>
      </w:rPr>
    </w:lvl>
    <w:lvl w:ilvl="5" w:tplc="FFFFFFFF">
      <w:start w:val="1"/>
      <w:numFmt w:val="lowerRoman"/>
      <w:lvlText w:val="%6."/>
      <w:lvlJc w:val="right"/>
      <w:pPr>
        <w:ind w:left="4386" w:hanging="180"/>
      </w:pPr>
      <w:rPr>
        <w:rFonts w:cs="Times New Roman"/>
      </w:rPr>
    </w:lvl>
    <w:lvl w:ilvl="6" w:tplc="FFFFFFFF">
      <w:start w:val="1"/>
      <w:numFmt w:val="decimal"/>
      <w:lvlText w:val="%7."/>
      <w:lvlJc w:val="left"/>
      <w:pPr>
        <w:ind w:left="5106" w:hanging="360"/>
      </w:pPr>
      <w:rPr>
        <w:rFonts w:cs="Times New Roman"/>
      </w:rPr>
    </w:lvl>
    <w:lvl w:ilvl="7" w:tplc="FFFFFFFF">
      <w:start w:val="1"/>
      <w:numFmt w:val="lowerLetter"/>
      <w:lvlText w:val="%8."/>
      <w:lvlJc w:val="left"/>
      <w:pPr>
        <w:ind w:left="5826" w:hanging="360"/>
      </w:pPr>
      <w:rPr>
        <w:rFonts w:cs="Times New Roman"/>
      </w:rPr>
    </w:lvl>
    <w:lvl w:ilvl="8" w:tplc="FFFFFFFF">
      <w:start w:val="1"/>
      <w:numFmt w:val="lowerRoman"/>
      <w:lvlText w:val="%9."/>
      <w:lvlJc w:val="right"/>
      <w:pPr>
        <w:ind w:left="6546" w:hanging="180"/>
      </w:pPr>
      <w:rPr>
        <w:rFonts w:cs="Times New Roman"/>
      </w:rPr>
    </w:lvl>
  </w:abstractNum>
  <w:abstractNum w:abstractNumId="30" w15:restartNumberingAfterBreak="0">
    <w:nsid w:val="699A053C"/>
    <w:multiLevelType w:val="hybridMultilevel"/>
    <w:tmpl w:val="118C6B6C"/>
    <w:lvl w:ilvl="0" w:tplc="38090019">
      <w:start w:val="1"/>
      <w:numFmt w:val="lowerLetter"/>
      <w:lvlText w:val="%1."/>
      <w:lvlJc w:val="left"/>
      <w:pPr>
        <w:ind w:left="2279" w:hanging="360"/>
      </w:pPr>
    </w:lvl>
    <w:lvl w:ilvl="1" w:tplc="38090019" w:tentative="1">
      <w:start w:val="1"/>
      <w:numFmt w:val="lowerLetter"/>
      <w:lvlText w:val="%2."/>
      <w:lvlJc w:val="left"/>
      <w:pPr>
        <w:ind w:left="2999" w:hanging="360"/>
      </w:pPr>
    </w:lvl>
    <w:lvl w:ilvl="2" w:tplc="3809001B" w:tentative="1">
      <w:start w:val="1"/>
      <w:numFmt w:val="lowerRoman"/>
      <w:lvlText w:val="%3."/>
      <w:lvlJc w:val="right"/>
      <w:pPr>
        <w:ind w:left="3719" w:hanging="180"/>
      </w:pPr>
    </w:lvl>
    <w:lvl w:ilvl="3" w:tplc="3809000F" w:tentative="1">
      <w:start w:val="1"/>
      <w:numFmt w:val="decimal"/>
      <w:lvlText w:val="%4."/>
      <w:lvlJc w:val="left"/>
      <w:pPr>
        <w:ind w:left="4439" w:hanging="360"/>
      </w:pPr>
    </w:lvl>
    <w:lvl w:ilvl="4" w:tplc="38090019" w:tentative="1">
      <w:start w:val="1"/>
      <w:numFmt w:val="lowerLetter"/>
      <w:lvlText w:val="%5."/>
      <w:lvlJc w:val="left"/>
      <w:pPr>
        <w:ind w:left="5159" w:hanging="360"/>
      </w:pPr>
    </w:lvl>
    <w:lvl w:ilvl="5" w:tplc="3809001B" w:tentative="1">
      <w:start w:val="1"/>
      <w:numFmt w:val="lowerRoman"/>
      <w:lvlText w:val="%6."/>
      <w:lvlJc w:val="right"/>
      <w:pPr>
        <w:ind w:left="5879" w:hanging="180"/>
      </w:pPr>
    </w:lvl>
    <w:lvl w:ilvl="6" w:tplc="3809000F" w:tentative="1">
      <w:start w:val="1"/>
      <w:numFmt w:val="decimal"/>
      <w:lvlText w:val="%7."/>
      <w:lvlJc w:val="left"/>
      <w:pPr>
        <w:ind w:left="6599" w:hanging="360"/>
      </w:pPr>
    </w:lvl>
    <w:lvl w:ilvl="7" w:tplc="38090019" w:tentative="1">
      <w:start w:val="1"/>
      <w:numFmt w:val="lowerLetter"/>
      <w:lvlText w:val="%8."/>
      <w:lvlJc w:val="left"/>
      <w:pPr>
        <w:ind w:left="7319" w:hanging="360"/>
      </w:pPr>
    </w:lvl>
    <w:lvl w:ilvl="8" w:tplc="3809001B" w:tentative="1">
      <w:start w:val="1"/>
      <w:numFmt w:val="lowerRoman"/>
      <w:lvlText w:val="%9."/>
      <w:lvlJc w:val="right"/>
      <w:pPr>
        <w:ind w:left="8039" w:hanging="180"/>
      </w:pPr>
    </w:lvl>
  </w:abstractNum>
  <w:abstractNum w:abstractNumId="31" w15:restartNumberingAfterBreak="0">
    <w:nsid w:val="72307550"/>
    <w:multiLevelType w:val="hybridMultilevel"/>
    <w:tmpl w:val="E202E9CA"/>
    <w:lvl w:ilvl="0" w:tplc="0409000F">
      <w:start w:val="1"/>
      <w:numFmt w:val="decimal"/>
      <w:lvlText w:val="%1."/>
      <w:lvlJc w:val="left"/>
      <w:pPr>
        <w:ind w:left="2140" w:hanging="360"/>
      </w:pPr>
      <w:rPr>
        <w:b w:val="0"/>
        <w:bCs w:val="0"/>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32" w15:restartNumberingAfterBreak="0">
    <w:nsid w:val="72852C3A"/>
    <w:multiLevelType w:val="hybridMultilevel"/>
    <w:tmpl w:val="312814E0"/>
    <w:lvl w:ilvl="0" w:tplc="A8BE1516">
      <w:start w:val="1"/>
      <w:numFmt w:val="decimal"/>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428059B"/>
    <w:multiLevelType w:val="multilevel"/>
    <w:tmpl w:val="56D22B84"/>
    <w:lvl w:ilvl="0">
      <w:start w:val="2"/>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5D664EC"/>
    <w:multiLevelType w:val="hybridMultilevel"/>
    <w:tmpl w:val="FFFFFFFF"/>
    <w:lvl w:ilvl="0" w:tplc="FFFFFFFF">
      <w:start w:val="1"/>
      <w:numFmt w:val="lowerLetter"/>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35" w15:restartNumberingAfterBreak="0">
    <w:nsid w:val="769D48F7"/>
    <w:multiLevelType w:val="multilevel"/>
    <w:tmpl w:val="FAF07C8A"/>
    <w:lvl w:ilvl="0">
      <w:start w:val="2"/>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97714AF"/>
    <w:multiLevelType w:val="hybridMultilevel"/>
    <w:tmpl w:val="7C64A58E"/>
    <w:lvl w:ilvl="0" w:tplc="EE8ADF26">
      <w:start w:val="1"/>
      <w:numFmt w:val="decimal"/>
      <w:lvlText w:val="%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7C32670A"/>
    <w:multiLevelType w:val="hybridMultilevel"/>
    <w:tmpl w:val="814CC92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8" w15:restartNumberingAfterBreak="0">
    <w:nsid w:val="7DC53DF9"/>
    <w:multiLevelType w:val="multilevel"/>
    <w:tmpl w:val="7DC53DF9"/>
    <w:lvl w:ilvl="0">
      <w:start w:val="1"/>
      <w:numFmt w:val="decimal"/>
      <w:lvlText w:val="%1."/>
      <w:lvlJc w:val="left"/>
      <w:pPr>
        <w:ind w:left="786" w:hanging="360"/>
      </w:p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num w:numId="1" w16cid:durableId="1358585684">
    <w:abstractNumId w:val="18"/>
  </w:num>
  <w:num w:numId="2" w16cid:durableId="1518426487">
    <w:abstractNumId w:val="31"/>
    <w:lvlOverride w:ilvl="0">
      <w:startOverride w:val="1"/>
    </w:lvlOverride>
  </w:num>
  <w:num w:numId="3" w16cid:durableId="62141203">
    <w:abstractNumId w:val="12"/>
  </w:num>
  <w:num w:numId="4" w16cid:durableId="32967683">
    <w:abstractNumId w:val="30"/>
  </w:num>
  <w:num w:numId="5" w16cid:durableId="1417366239">
    <w:abstractNumId w:val="20"/>
  </w:num>
  <w:num w:numId="6" w16cid:durableId="1257715474">
    <w:abstractNumId w:val="5"/>
  </w:num>
  <w:num w:numId="7" w16cid:durableId="1221096955">
    <w:abstractNumId w:val="11"/>
  </w:num>
  <w:num w:numId="8" w16cid:durableId="1643122605">
    <w:abstractNumId w:val="33"/>
  </w:num>
  <w:num w:numId="9" w16cid:durableId="1671177724">
    <w:abstractNumId w:val="19"/>
  </w:num>
  <w:num w:numId="10" w16cid:durableId="317157023">
    <w:abstractNumId w:val="6"/>
  </w:num>
  <w:num w:numId="11" w16cid:durableId="468716742">
    <w:abstractNumId w:val="14"/>
  </w:num>
  <w:num w:numId="12" w16cid:durableId="145097584">
    <w:abstractNumId w:val="29"/>
  </w:num>
  <w:num w:numId="13" w16cid:durableId="1863587739">
    <w:abstractNumId w:val="34"/>
  </w:num>
  <w:num w:numId="14" w16cid:durableId="1479148194">
    <w:abstractNumId w:val="7"/>
  </w:num>
  <w:num w:numId="15" w16cid:durableId="47537925">
    <w:abstractNumId w:val="37"/>
  </w:num>
  <w:num w:numId="16" w16cid:durableId="629821709">
    <w:abstractNumId w:val="28"/>
  </w:num>
  <w:num w:numId="17" w16cid:durableId="761489464">
    <w:abstractNumId w:val="10"/>
  </w:num>
  <w:num w:numId="18" w16cid:durableId="541358848">
    <w:abstractNumId w:val="1"/>
  </w:num>
  <w:num w:numId="19" w16cid:durableId="1645427149">
    <w:abstractNumId w:val="4"/>
  </w:num>
  <w:num w:numId="20" w16cid:durableId="1658917167">
    <w:abstractNumId w:val="0"/>
  </w:num>
  <w:num w:numId="21" w16cid:durableId="183910275">
    <w:abstractNumId w:val="2"/>
  </w:num>
  <w:num w:numId="22" w16cid:durableId="673724494">
    <w:abstractNumId w:val="23"/>
  </w:num>
  <w:num w:numId="23" w16cid:durableId="504982954">
    <w:abstractNumId w:val="3"/>
  </w:num>
  <w:num w:numId="24" w16cid:durableId="1422606321">
    <w:abstractNumId w:val="15"/>
  </w:num>
  <w:num w:numId="25" w16cid:durableId="1251621482">
    <w:abstractNumId w:val="24"/>
  </w:num>
  <w:num w:numId="26" w16cid:durableId="775953011">
    <w:abstractNumId w:val="32"/>
  </w:num>
  <w:num w:numId="27" w16cid:durableId="192109202">
    <w:abstractNumId w:val="36"/>
  </w:num>
  <w:num w:numId="28" w16cid:durableId="91543312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9461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1831518">
    <w:abstractNumId w:val="25"/>
  </w:num>
  <w:num w:numId="31" w16cid:durableId="9426847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6190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47969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1812110">
    <w:abstractNumId w:val="27"/>
  </w:num>
  <w:num w:numId="35" w16cid:durableId="1675499537">
    <w:abstractNumId w:val="35"/>
  </w:num>
  <w:num w:numId="36" w16cid:durableId="1850564695">
    <w:abstractNumId w:val="16"/>
  </w:num>
  <w:num w:numId="37" w16cid:durableId="1017080535">
    <w:abstractNumId w:val="21"/>
  </w:num>
  <w:num w:numId="38" w16cid:durableId="182062350">
    <w:abstractNumId w:val="17"/>
  </w:num>
  <w:num w:numId="39" w16cid:durableId="2104760578">
    <w:abstractNumId w:val="8"/>
  </w:num>
  <w:num w:numId="40" w16cid:durableId="1309357608">
    <w:abstractNumId w:val="26"/>
  </w:num>
  <w:num w:numId="41" w16cid:durableId="1045181867">
    <w:abstractNumId w:val="9"/>
  </w:num>
  <w:num w:numId="42" w16cid:durableId="8699963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5A2"/>
    <w:rsid w:val="000238C4"/>
    <w:rsid w:val="00024CB4"/>
    <w:rsid w:val="000348A2"/>
    <w:rsid w:val="00050540"/>
    <w:rsid w:val="00067CC9"/>
    <w:rsid w:val="000B238B"/>
    <w:rsid w:val="000C6567"/>
    <w:rsid w:val="000C6D9C"/>
    <w:rsid w:val="000D67C5"/>
    <w:rsid w:val="001D6134"/>
    <w:rsid w:val="00256DFA"/>
    <w:rsid w:val="00280C69"/>
    <w:rsid w:val="002A72AC"/>
    <w:rsid w:val="002A7DF3"/>
    <w:rsid w:val="002F0CEA"/>
    <w:rsid w:val="00310464"/>
    <w:rsid w:val="003136DA"/>
    <w:rsid w:val="00314943"/>
    <w:rsid w:val="00321472"/>
    <w:rsid w:val="00327B69"/>
    <w:rsid w:val="003D1CFC"/>
    <w:rsid w:val="003E6B61"/>
    <w:rsid w:val="004308A2"/>
    <w:rsid w:val="004355A2"/>
    <w:rsid w:val="00437AC8"/>
    <w:rsid w:val="00441AAF"/>
    <w:rsid w:val="00473768"/>
    <w:rsid w:val="005103A0"/>
    <w:rsid w:val="00555FA8"/>
    <w:rsid w:val="00556954"/>
    <w:rsid w:val="00597EE9"/>
    <w:rsid w:val="005D6EEC"/>
    <w:rsid w:val="005D7D83"/>
    <w:rsid w:val="005E6340"/>
    <w:rsid w:val="005F07E1"/>
    <w:rsid w:val="006512A5"/>
    <w:rsid w:val="0069629B"/>
    <w:rsid w:val="006A0939"/>
    <w:rsid w:val="006B412A"/>
    <w:rsid w:val="006C65EC"/>
    <w:rsid w:val="006F2217"/>
    <w:rsid w:val="00713DC3"/>
    <w:rsid w:val="00725480"/>
    <w:rsid w:val="00764FBB"/>
    <w:rsid w:val="00785C80"/>
    <w:rsid w:val="00786DAA"/>
    <w:rsid w:val="007D3B03"/>
    <w:rsid w:val="007D41BA"/>
    <w:rsid w:val="0081236C"/>
    <w:rsid w:val="00821940"/>
    <w:rsid w:val="00833623"/>
    <w:rsid w:val="0085511A"/>
    <w:rsid w:val="008653FF"/>
    <w:rsid w:val="00885CED"/>
    <w:rsid w:val="008C5BF6"/>
    <w:rsid w:val="00913159"/>
    <w:rsid w:val="00917EBE"/>
    <w:rsid w:val="00922484"/>
    <w:rsid w:val="0098354E"/>
    <w:rsid w:val="00984822"/>
    <w:rsid w:val="009B5E14"/>
    <w:rsid w:val="009F1EEA"/>
    <w:rsid w:val="00A26BEC"/>
    <w:rsid w:val="00A50607"/>
    <w:rsid w:val="00AC5EE4"/>
    <w:rsid w:val="00AD72F3"/>
    <w:rsid w:val="00B31328"/>
    <w:rsid w:val="00B32DD9"/>
    <w:rsid w:val="00B557EA"/>
    <w:rsid w:val="00BD157B"/>
    <w:rsid w:val="00BD6183"/>
    <w:rsid w:val="00BF7CA9"/>
    <w:rsid w:val="00C40CB4"/>
    <w:rsid w:val="00C97780"/>
    <w:rsid w:val="00CF6DDD"/>
    <w:rsid w:val="00D2328B"/>
    <w:rsid w:val="00D326BD"/>
    <w:rsid w:val="00D673E0"/>
    <w:rsid w:val="00D80BC5"/>
    <w:rsid w:val="00D831D4"/>
    <w:rsid w:val="00DE73CD"/>
    <w:rsid w:val="00E05045"/>
    <w:rsid w:val="00E17548"/>
    <w:rsid w:val="00E33FBE"/>
    <w:rsid w:val="00E44255"/>
    <w:rsid w:val="00E655DE"/>
    <w:rsid w:val="00E75EA5"/>
    <w:rsid w:val="00E76B78"/>
    <w:rsid w:val="00EA1E67"/>
    <w:rsid w:val="00EC1E99"/>
    <w:rsid w:val="00EE2B42"/>
    <w:rsid w:val="00EE2D94"/>
    <w:rsid w:val="00EF79EE"/>
    <w:rsid w:val="00F03C08"/>
    <w:rsid w:val="00F32EFA"/>
    <w:rsid w:val="00F44579"/>
    <w:rsid w:val="00F50EFD"/>
    <w:rsid w:val="00F7334C"/>
    <w:rsid w:val="00F819C4"/>
    <w:rsid w:val="00FD15E9"/>
    <w:rsid w:val="00FD589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D4E33"/>
  <w15:docId w15:val="{9C05F194-4F50-4343-830C-CA548151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B1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FEF"/>
  </w:style>
  <w:style w:type="paragraph" w:styleId="Footer">
    <w:name w:val="footer"/>
    <w:basedOn w:val="Normal"/>
    <w:link w:val="FooterChar"/>
    <w:uiPriority w:val="99"/>
    <w:unhideWhenUsed/>
    <w:rsid w:val="00B13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FEF"/>
  </w:style>
  <w:style w:type="character" w:styleId="Hyperlink">
    <w:name w:val="Hyperlink"/>
    <w:uiPriority w:val="99"/>
    <w:unhideWhenUsed/>
    <w:qFormat/>
    <w:rsid w:val="00B13FEF"/>
    <w:rPr>
      <w:color w:val="0000FF"/>
      <w:u w:val="single"/>
    </w:rPr>
  </w:style>
  <w:style w:type="character" w:styleId="Strong">
    <w:name w:val="Strong"/>
    <w:basedOn w:val="DefaultParagraphFont"/>
    <w:uiPriority w:val="22"/>
    <w:qFormat/>
    <w:rsid w:val="00B13FE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aliases w:val="skripsi,Body Text Char1,Char Char2,List Paragraph2,List Paragraph1,Body of text,sub de titre 4,ANNEX,TABEL,kepala,Colorful List - Accent 11,Char Char21,Tabel,SUB BAB2,ListKebijakan,Dot pt,F5 List Paragraph,List Paragraph Char Char Char"/>
    <w:basedOn w:val="Normal"/>
    <w:link w:val="ListParagraphChar"/>
    <w:uiPriority w:val="34"/>
    <w:qFormat/>
    <w:rsid w:val="00EC1E99"/>
    <w:pPr>
      <w:spacing w:after="200" w:line="276"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skripsi Char,Body Text Char1 Char,Char Char2 Char,List Paragraph2 Char,List Paragraph1 Char,Body of text Char,sub de titre 4 Char,ANNEX Char,TABEL Char,kepala Char,Colorful List - Accent 11 Char,Char Char21 Char,Tabel Char"/>
    <w:link w:val="ListParagraph"/>
    <w:uiPriority w:val="34"/>
    <w:qFormat/>
    <w:locked/>
    <w:rsid w:val="00EC1E99"/>
    <w:rPr>
      <w:rFonts w:asciiTheme="minorHAnsi" w:eastAsiaTheme="minorHAnsi" w:hAnsiTheme="minorHAnsi" w:cstheme="minorBidi"/>
      <w:lang w:eastAsia="en-US"/>
    </w:rPr>
  </w:style>
  <w:style w:type="paragraph" w:styleId="BodyTextIndent2">
    <w:name w:val="Body Text Indent 2"/>
    <w:basedOn w:val="Normal"/>
    <w:link w:val="BodyTextIndent2Char"/>
    <w:uiPriority w:val="99"/>
    <w:semiHidden/>
    <w:unhideWhenUsed/>
    <w:rsid w:val="00F50EFD"/>
    <w:pPr>
      <w:spacing w:after="120" w:line="480" w:lineRule="auto"/>
      <w:ind w:left="360"/>
    </w:pPr>
    <w:rPr>
      <w:rFonts w:asciiTheme="minorHAnsi" w:eastAsia="SimSun" w:hAnsiTheme="minorHAnsi" w:cstheme="minorBidi"/>
      <w:lang w:eastAsia="en-US"/>
    </w:rPr>
  </w:style>
  <w:style w:type="character" w:customStyle="1" w:styleId="BodyTextIndent2Char">
    <w:name w:val="Body Text Indent 2 Char"/>
    <w:basedOn w:val="DefaultParagraphFont"/>
    <w:link w:val="BodyTextIndent2"/>
    <w:uiPriority w:val="99"/>
    <w:semiHidden/>
    <w:rsid w:val="00F50EFD"/>
    <w:rPr>
      <w:rFonts w:asciiTheme="minorHAnsi" w:eastAsia="SimSun" w:hAnsiTheme="minorHAnsi" w:cstheme="minorBidi"/>
      <w:lang w:eastAsia="en-US"/>
    </w:rPr>
  </w:style>
  <w:style w:type="character" w:styleId="UnresolvedMention">
    <w:name w:val="Unresolved Mention"/>
    <w:basedOn w:val="DefaultParagraphFont"/>
    <w:uiPriority w:val="99"/>
    <w:semiHidden/>
    <w:unhideWhenUsed/>
    <w:rsid w:val="005103A0"/>
    <w:rPr>
      <w:color w:val="605E5C"/>
      <w:shd w:val="clear" w:color="auto" w:fill="E1DFDD"/>
    </w:rPr>
  </w:style>
  <w:style w:type="paragraph" w:styleId="BodyText">
    <w:name w:val="Body Text"/>
    <w:basedOn w:val="Normal"/>
    <w:link w:val="BodyTextChar"/>
    <w:uiPriority w:val="99"/>
    <w:semiHidden/>
    <w:unhideWhenUsed/>
    <w:rsid w:val="00BD6183"/>
    <w:pPr>
      <w:spacing w:after="120"/>
    </w:pPr>
  </w:style>
  <w:style w:type="character" w:customStyle="1" w:styleId="BodyTextChar">
    <w:name w:val="Body Text Char"/>
    <w:basedOn w:val="DefaultParagraphFont"/>
    <w:link w:val="BodyText"/>
    <w:uiPriority w:val="99"/>
    <w:semiHidden/>
    <w:rsid w:val="00BD6183"/>
  </w:style>
  <w:style w:type="character" w:customStyle="1" w:styleId="BodyTextIndentChar">
    <w:name w:val="Body Text Indent Char"/>
    <w:basedOn w:val="DefaultParagraphFont"/>
    <w:link w:val="BodyTextIndent"/>
    <w:uiPriority w:val="99"/>
    <w:unhideWhenUsed/>
    <w:locked/>
    <w:rsid w:val="002F0CEA"/>
    <w:rPr>
      <w:rFonts w:cs="Times New Roman"/>
    </w:rPr>
  </w:style>
  <w:style w:type="paragraph" w:styleId="BodyTextIndent">
    <w:name w:val="Body Text Indent"/>
    <w:basedOn w:val="Normal"/>
    <w:link w:val="BodyTextIndentChar"/>
    <w:uiPriority w:val="99"/>
    <w:unhideWhenUsed/>
    <w:rsid w:val="002F0CEA"/>
    <w:pPr>
      <w:widowControl w:val="0"/>
      <w:autoSpaceDE w:val="0"/>
      <w:autoSpaceDN w:val="0"/>
      <w:spacing w:after="120"/>
      <w:ind w:left="283"/>
    </w:pPr>
    <w:rPr>
      <w:rFonts w:cs="Times New Roman"/>
    </w:rPr>
  </w:style>
  <w:style w:type="character" w:customStyle="1" w:styleId="BodyTextIndentChar1">
    <w:name w:val="Body Text Indent Char1"/>
    <w:basedOn w:val="DefaultParagraphFont"/>
    <w:uiPriority w:val="99"/>
    <w:semiHidden/>
    <w:rsid w:val="002F0CEA"/>
  </w:style>
  <w:style w:type="character" w:customStyle="1" w:styleId="vkekvd">
    <w:name w:val="vkekvd"/>
    <w:basedOn w:val="DefaultParagraphFont"/>
    <w:rsid w:val="006512A5"/>
  </w:style>
  <w:style w:type="character" w:styleId="Emphasis">
    <w:name w:val="Emphasis"/>
    <w:basedOn w:val="DefaultParagraphFont"/>
    <w:uiPriority w:val="20"/>
    <w:qFormat/>
    <w:rsid w:val="006512A5"/>
    <w:rPr>
      <w:i/>
      <w:iCs/>
    </w:rPr>
  </w:style>
  <w:style w:type="character" w:customStyle="1" w:styleId="t286pc">
    <w:name w:val="t286pc"/>
    <w:basedOn w:val="DefaultParagraphFont"/>
    <w:rsid w:val="006512A5"/>
  </w:style>
  <w:style w:type="paragraph" w:customStyle="1" w:styleId="Default">
    <w:name w:val="Default"/>
    <w:rsid w:val="004308A2"/>
    <w:pPr>
      <w:autoSpaceDE w:val="0"/>
      <w:autoSpaceDN w:val="0"/>
      <w:adjustRightInd w:val="0"/>
      <w:spacing w:after="0" w:line="240" w:lineRule="auto"/>
    </w:pPr>
    <w:rPr>
      <w:rFonts w:ascii="Times New Roman" w:eastAsiaTheme="minorHAnsi" w:hAnsi="Times New Roman" w:cs="Times New Roman"/>
      <w:color w:val="000000"/>
      <w:sz w:val="24"/>
      <w:szCs w:val="24"/>
      <w:lang w:val="en-ID" w:eastAsia="en-US"/>
    </w:rPr>
  </w:style>
  <w:style w:type="character" w:customStyle="1" w:styleId="ls5">
    <w:name w:val="ls5"/>
    <w:basedOn w:val="DefaultParagraphFont"/>
    <w:rsid w:val="004308A2"/>
  </w:style>
  <w:style w:type="character" w:customStyle="1" w:styleId="ls6">
    <w:name w:val="ls6"/>
    <w:basedOn w:val="DefaultParagraphFont"/>
    <w:rsid w:val="004308A2"/>
  </w:style>
  <w:style w:type="character" w:customStyle="1" w:styleId="ls20">
    <w:name w:val="ls20"/>
    <w:basedOn w:val="DefaultParagraphFont"/>
    <w:rsid w:val="004308A2"/>
  </w:style>
  <w:style w:type="character" w:customStyle="1" w:styleId="ls7">
    <w:name w:val="ls7"/>
    <w:basedOn w:val="DefaultParagraphFont"/>
    <w:rsid w:val="004308A2"/>
  </w:style>
  <w:style w:type="character" w:customStyle="1" w:styleId="ls9">
    <w:name w:val="ls9"/>
    <w:basedOn w:val="DefaultParagraphFont"/>
    <w:rsid w:val="004308A2"/>
  </w:style>
  <w:style w:type="character" w:customStyle="1" w:styleId="lsa">
    <w:name w:val="lsa"/>
    <w:basedOn w:val="DefaultParagraphFont"/>
    <w:rsid w:val="004308A2"/>
  </w:style>
  <w:style w:type="character" w:customStyle="1" w:styleId="ls16">
    <w:name w:val="ls16"/>
    <w:basedOn w:val="DefaultParagraphFont"/>
    <w:rsid w:val="004308A2"/>
  </w:style>
  <w:style w:type="character" w:customStyle="1" w:styleId="ls17">
    <w:name w:val="ls17"/>
    <w:basedOn w:val="DefaultParagraphFont"/>
    <w:rsid w:val="004308A2"/>
  </w:style>
  <w:style w:type="character" w:customStyle="1" w:styleId="ls18">
    <w:name w:val="ls18"/>
    <w:basedOn w:val="DefaultParagraphFont"/>
    <w:rsid w:val="004308A2"/>
  </w:style>
  <w:style w:type="character" w:customStyle="1" w:styleId="ls19">
    <w:name w:val="ls19"/>
    <w:basedOn w:val="DefaultParagraphFont"/>
    <w:rsid w:val="004308A2"/>
  </w:style>
  <w:style w:type="character" w:customStyle="1" w:styleId="ls1a">
    <w:name w:val="ls1a"/>
    <w:basedOn w:val="DefaultParagraphFont"/>
    <w:rsid w:val="004308A2"/>
  </w:style>
  <w:style w:type="character" w:customStyle="1" w:styleId="ls1b">
    <w:name w:val="ls1b"/>
    <w:basedOn w:val="DefaultParagraphFont"/>
    <w:rsid w:val="004308A2"/>
  </w:style>
  <w:style w:type="character" w:customStyle="1" w:styleId="ls1c">
    <w:name w:val="ls1c"/>
    <w:basedOn w:val="DefaultParagraphFont"/>
    <w:rsid w:val="004308A2"/>
  </w:style>
  <w:style w:type="character" w:customStyle="1" w:styleId="ls1d">
    <w:name w:val="ls1d"/>
    <w:basedOn w:val="DefaultParagraphFont"/>
    <w:rsid w:val="004308A2"/>
  </w:style>
  <w:style w:type="character" w:customStyle="1" w:styleId="ls2">
    <w:name w:val="ls2"/>
    <w:basedOn w:val="DefaultParagraphFont"/>
    <w:rsid w:val="004308A2"/>
  </w:style>
  <w:style w:type="character" w:customStyle="1" w:styleId="ls3">
    <w:name w:val="ls3"/>
    <w:basedOn w:val="DefaultParagraphFont"/>
    <w:rsid w:val="004308A2"/>
  </w:style>
  <w:style w:type="character" w:customStyle="1" w:styleId="ls28">
    <w:name w:val="ls28"/>
    <w:basedOn w:val="DefaultParagraphFont"/>
    <w:rsid w:val="004308A2"/>
  </w:style>
  <w:style w:type="character" w:customStyle="1" w:styleId="ls29">
    <w:name w:val="ls29"/>
    <w:basedOn w:val="DefaultParagraphFont"/>
    <w:rsid w:val="004308A2"/>
  </w:style>
  <w:style w:type="paragraph" w:styleId="NormalWeb">
    <w:name w:val="Normal (Web)"/>
    <w:basedOn w:val="Normal"/>
    <w:uiPriority w:val="99"/>
    <w:unhideWhenUsed/>
    <w:rsid w:val="0069629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CommentText">
    <w:name w:val="annotation text"/>
    <w:basedOn w:val="Normal"/>
    <w:link w:val="CommentTextChar"/>
    <w:uiPriority w:val="99"/>
    <w:semiHidden/>
    <w:unhideWhenUsed/>
    <w:rsid w:val="00713DC3"/>
    <w:pPr>
      <w:spacing w:line="240" w:lineRule="auto"/>
    </w:pPr>
    <w:rPr>
      <w:sz w:val="20"/>
      <w:szCs w:val="20"/>
    </w:rPr>
  </w:style>
  <w:style w:type="character" w:customStyle="1" w:styleId="CommentTextChar">
    <w:name w:val="Comment Text Char"/>
    <w:basedOn w:val="DefaultParagraphFont"/>
    <w:link w:val="CommentText"/>
    <w:uiPriority w:val="99"/>
    <w:semiHidden/>
    <w:rsid w:val="00713DC3"/>
    <w:rPr>
      <w:sz w:val="20"/>
      <w:szCs w:val="20"/>
    </w:rPr>
  </w:style>
  <w:style w:type="paragraph" w:styleId="CommentSubject">
    <w:name w:val="annotation subject"/>
    <w:basedOn w:val="CommentText"/>
    <w:next w:val="CommentText"/>
    <w:link w:val="CommentSubjectChar"/>
    <w:uiPriority w:val="99"/>
    <w:rsid w:val="00713DC3"/>
    <w:pPr>
      <w:widowControl w:val="0"/>
      <w:autoSpaceDE w:val="0"/>
      <w:autoSpaceDN w:val="0"/>
      <w:spacing w:line="259" w:lineRule="auto"/>
    </w:pPr>
    <w:rPr>
      <w:rFonts w:ascii="Times New Roman" w:eastAsia="SimSun" w:hAnsi="Times New Roman" w:cs="Times New Roman"/>
      <w:b/>
      <w:bCs/>
      <w:lang w:eastAsia="en-US"/>
    </w:rPr>
  </w:style>
  <w:style w:type="character" w:customStyle="1" w:styleId="CommentSubjectChar">
    <w:name w:val="Comment Subject Char"/>
    <w:basedOn w:val="CommentTextChar"/>
    <w:link w:val="CommentSubject"/>
    <w:uiPriority w:val="99"/>
    <w:rsid w:val="00713DC3"/>
    <w:rPr>
      <w:rFonts w:ascii="Times New Roman" w:eastAsia="SimSun" w:hAnsi="Times New Roman" w:cs="Times New Roman"/>
      <w:b/>
      <w:bCs/>
      <w:sz w:val="20"/>
      <w:szCs w:val="20"/>
      <w:lang w:eastAsia="en-US"/>
    </w:rPr>
  </w:style>
  <w:style w:type="table" w:styleId="TableGrid">
    <w:name w:val="Table Grid"/>
    <w:basedOn w:val="TableNormal"/>
    <w:uiPriority w:val="39"/>
    <w:qFormat/>
    <w:rsid w:val="00256DFA"/>
    <w:rPr>
      <w:rFonts w:ascii="Times New Roman" w:eastAsia="SimSun" w:hAnsi="Times New Roman" w:cs="Times New Roman"/>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6BEC"/>
    <w:pPr>
      <w:spacing w:after="0" w:line="240" w:lineRule="auto"/>
    </w:pPr>
    <w:rPr>
      <w:rFonts w:asciiTheme="minorHAnsi" w:eastAsiaTheme="minorEastAsia" w:hAnsiTheme="minorHAnsi" w:cstheme="minorBidi"/>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A26BEC"/>
    <w:pPr>
      <w:spacing w:after="0" w:line="240" w:lineRule="auto"/>
    </w:pPr>
    <w:rPr>
      <w:rFonts w:asciiTheme="minorHAnsi" w:eastAsiaTheme="minorEastAsia" w:hAnsiTheme="minorHAnsi" w:cstheme="minorBidi"/>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A26BEC"/>
    <w:pPr>
      <w:spacing w:after="0" w:line="240" w:lineRule="auto"/>
    </w:pPr>
    <w:rPr>
      <w:rFonts w:asciiTheme="minorHAnsi" w:eastAsiaTheme="minorEastAsia" w:hAnsiTheme="minorHAnsi" w:cstheme="minorBidi"/>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yunita.kusumawardani85@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YOpGwalgFoJatDu8QpeYQ/PRtg==">AMUW2mUPxDLxEk9Xux1GeFMhTrQqJl9DK1mUptf0fqPIpCNtXcUWK2G5J6rCtn9QK5ybizqxZztYoOd4go0BwOM+drp1H0sjovmuxDx/JXiUFjDTuy2pN4sEVxygX5vMESgRCOxafsXB</go:docsCustomData>
</go:gDocsCustomXmlDataStorage>
</file>

<file path=customXml/itemProps1.xml><?xml version="1.0" encoding="utf-8"?>
<ds:datastoreItem xmlns:ds="http://schemas.openxmlformats.org/officeDocument/2006/customXml" ds:itemID="{162720EC-405E-4F9A-8272-0E6FDE75E1C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4505</Words>
  <Characters>25679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dedijunaedi</dc:creator>
  <cp:lastModifiedBy>Muhammad Fathan Mujahid</cp:lastModifiedBy>
  <cp:revision>3</cp:revision>
  <dcterms:created xsi:type="dcterms:W3CDTF">2026-05-12T06:13:00Z</dcterms:created>
  <dcterms:modified xsi:type="dcterms:W3CDTF">2026-05-20T15:29:00Z</dcterms:modified>
</cp:coreProperties>
</file>